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olor w:val="auto"/>
          <w:sz w:val="32"/>
          <w:szCs w:val="32"/>
        </w:rPr>
      </w:pPr>
      <w:bookmarkStart w:id="92" w:name="_GoBack"/>
      <w:r>
        <w:rPr>
          <w:rFonts w:hint="eastAsia" w:ascii="黑体" w:hAnsi="黑体" w:eastAsia="黑体"/>
          <w:color w:val="auto"/>
          <w:sz w:val="32"/>
          <w:szCs w:val="32"/>
        </w:rPr>
        <w:t xml:space="preserve">附件1： </w:t>
      </w:r>
    </w:p>
    <w:p>
      <w:pPr>
        <w:spacing w:line="540" w:lineRule="exact"/>
        <w:rPr>
          <w:rFonts w:ascii="方正小标宋_GBK" w:hAnsi="宋体" w:eastAsia="方正小标宋_GBK"/>
          <w:color w:val="auto"/>
          <w:sz w:val="44"/>
          <w:szCs w:val="44"/>
        </w:rPr>
      </w:pPr>
    </w:p>
    <w:p>
      <w:pPr>
        <w:spacing w:line="540" w:lineRule="exact"/>
        <w:jc w:val="center"/>
        <w:rPr>
          <w:rFonts w:ascii="方正小标宋_GBK" w:hAnsi="宋体" w:eastAsia="方正小标宋_GBK"/>
          <w:color w:val="auto"/>
          <w:sz w:val="44"/>
          <w:szCs w:val="44"/>
        </w:rPr>
      </w:pPr>
      <w:r>
        <w:rPr>
          <w:rFonts w:hint="eastAsia" w:ascii="方正小标宋_GBK" w:hAnsi="宋体" w:eastAsia="方正小标宋_GBK"/>
          <w:color w:val="auto"/>
          <w:sz w:val="44"/>
          <w:szCs w:val="44"/>
        </w:rPr>
        <w:t>2018年度新疆喀什地区英吉沙县粮食局部门决算</w:t>
      </w:r>
    </w:p>
    <w:p>
      <w:pPr>
        <w:spacing w:line="540" w:lineRule="exact"/>
        <w:jc w:val="center"/>
        <w:rPr>
          <w:rFonts w:ascii="方正小标宋_GBK" w:hAnsi="宋体" w:eastAsia="方正小标宋_GBK"/>
          <w:color w:val="auto"/>
          <w:sz w:val="44"/>
          <w:szCs w:val="44"/>
        </w:rPr>
      </w:pPr>
      <w:r>
        <w:rPr>
          <w:rFonts w:hint="eastAsia" w:ascii="方正小标宋_GBK" w:hAnsi="宋体" w:eastAsia="方正小标宋_GBK"/>
          <w:color w:val="auto"/>
          <w:sz w:val="44"/>
          <w:szCs w:val="44"/>
        </w:rPr>
        <w:t>公开说明</w:t>
      </w:r>
    </w:p>
    <w:p>
      <w:pPr>
        <w:spacing w:line="540" w:lineRule="exact"/>
        <w:rPr>
          <w:rFonts w:ascii="仿宋_GB2312" w:hAnsi="宋体" w:eastAsia="仿宋_GB2312"/>
          <w:color w:val="auto"/>
          <w:sz w:val="32"/>
          <w:szCs w:val="32"/>
        </w:rPr>
      </w:pPr>
    </w:p>
    <w:p>
      <w:pPr>
        <w:spacing w:line="540" w:lineRule="exact"/>
        <w:jc w:val="center"/>
        <w:rPr>
          <w:rFonts w:ascii="黑体" w:hAnsi="黑体" w:eastAsia="黑体"/>
          <w:bCs/>
          <w:color w:val="auto"/>
          <w:kern w:val="0"/>
          <w:sz w:val="32"/>
          <w:szCs w:val="32"/>
        </w:rPr>
      </w:pPr>
      <w:r>
        <w:rPr>
          <w:rFonts w:hint="eastAsia" w:ascii="黑体" w:hAnsi="黑体" w:eastAsia="黑体"/>
          <w:bCs/>
          <w:color w:val="auto"/>
          <w:kern w:val="0"/>
          <w:sz w:val="32"/>
          <w:szCs w:val="32"/>
        </w:rPr>
        <w:t>目  录</w:t>
      </w:r>
    </w:p>
    <w:p>
      <w:pPr>
        <w:spacing w:line="540" w:lineRule="exact"/>
        <w:rPr>
          <w:rFonts w:ascii="仿宋_GB2312" w:hAnsi="宋体" w:eastAsia="仿宋_GB2312"/>
          <w:b/>
          <w:color w:val="auto"/>
          <w:kern w:val="0"/>
          <w:sz w:val="32"/>
          <w:szCs w:val="32"/>
        </w:rPr>
      </w:pPr>
    </w:p>
    <w:p>
      <w:pPr>
        <w:spacing w:line="540" w:lineRule="exact"/>
        <w:ind w:firstLine="640" w:firstLineChars="200"/>
        <w:rPr>
          <w:rFonts w:ascii="黑体" w:hAnsi="黑体" w:eastAsia="黑体"/>
          <w:color w:val="auto"/>
          <w:kern w:val="0"/>
          <w:sz w:val="32"/>
          <w:szCs w:val="32"/>
        </w:rPr>
      </w:pPr>
      <w:r>
        <w:rPr>
          <w:rFonts w:hint="eastAsia" w:ascii="黑体" w:hAnsi="黑体" w:eastAsia="黑体"/>
          <w:color w:val="auto"/>
          <w:kern w:val="0"/>
          <w:sz w:val="32"/>
          <w:szCs w:val="32"/>
        </w:rPr>
        <w:t>第一部分 部门单位概况</w:t>
      </w:r>
    </w:p>
    <w:p>
      <w:pPr>
        <w:spacing w:line="54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spacing w:line="54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w:t>
      </w:r>
      <w:r>
        <w:rPr>
          <w:rFonts w:hint="eastAsia" w:ascii="仿宋_GB2312" w:eastAsia="仿宋_GB2312"/>
          <w:color w:val="auto"/>
          <w:sz w:val="32"/>
          <w:szCs w:val="32"/>
        </w:rPr>
        <w:t>机构设置情况</w:t>
      </w:r>
    </w:p>
    <w:p>
      <w:pPr>
        <w:spacing w:line="540" w:lineRule="exact"/>
        <w:ind w:firstLine="640" w:firstLineChars="200"/>
        <w:rPr>
          <w:rFonts w:ascii="黑体" w:hAnsi="黑体" w:eastAsia="黑体"/>
          <w:color w:val="auto"/>
          <w:kern w:val="0"/>
          <w:sz w:val="32"/>
          <w:szCs w:val="32"/>
        </w:rPr>
      </w:pPr>
      <w:r>
        <w:rPr>
          <w:rFonts w:hint="eastAsia" w:ascii="黑体" w:hAnsi="黑体" w:eastAsia="黑体"/>
          <w:color w:val="auto"/>
          <w:kern w:val="0"/>
          <w:sz w:val="32"/>
          <w:szCs w:val="32"/>
        </w:rPr>
        <w:t>第二部分 部门决算情况说明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一、部门收支总体情况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（一）部门收入支出决算总体情况说明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（二）部门收入总体情况说明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（三）部门支出总体情况说明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二、部门财政拨款收支情况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（一）财政拨款收支总体情况说明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（二）一般公共预算收支决算情况说明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（三）政府性基金预算收支决算情况说明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三、部门结转结余情况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四、一般公共预算“三公”经费支出情况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五、机关运行经费支出情况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六、政府采购情况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七、其他重要事项的情况</w:t>
      </w:r>
    </w:p>
    <w:p>
      <w:pPr>
        <w:spacing w:line="540" w:lineRule="exact"/>
        <w:ind w:firstLine="640" w:firstLineChars="200"/>
        <w:rPr>
          <w:rFonts w:ascii="仿宋_GB2312" w:eastAsia="仿宋_GB2312"/>
          <w:color w:val="auto"/>
          <w:sz w:val="32"/>
          <w:szCs w:val="32"/>
        </w:rPr>
      </w:pPr>
      <w:bookmarkStart w:id="0" w:name="OLE_LINK94"/>
      <w:bookmarkStart w:id="1" w:name="OLE_LINK95"/>
      <w:r>
        <w:rPr>
          <w:rFonts w:hint="eastAsia" w:ascii="仿宋_GB2312" w:eastAsia="仿宋_GB2312"/>
          <w:color w:val="auto"/>
          <w:sz w:val="32"/>
          <w:szCs w:val="32"/>
        </w:rPr>
        <w:t>（一）国有资产占用情况说明</w:t>
      </w:r>
      <w:bookmarkEnd w:id="0"/>
      <w:bookmarkEnd w:id="1"/>
    </w:p>
    <w:p>
      <w:pPr>
        <w:spacing w:line="540" w:lineRule="exact"/>
        <w:ind w:firstLine="640" w:firstLineChars="200"/>
        <w:rPr>
          <w:rFonts w:ascii="仿宋_GB2312" w:eastAsia="仿宋_GB2312"/>
          <w:color w:val="auto"/>
          <w:sz w:val="32"/>
          <w:szCs w:val="32"/>
        </w:rPr>
      </w:pPr>
      <w:bookmarkStart w:id="2" w:name="OLE_LINK96"/>
      <w:r>
        <w:rPr>
          <w:rFonts w:hint="eastAsia" w:ascii="仿宋_GB2312" w:eastAsia="仿宋_GB2312"/>
          <w:color w:val="auto"/>
          <w:sz w:val="32"/>
          <w:szCs w:val="32"/>
        </w:rPr>
        <w:t>（二）预算绩效情况的说明</w:t>
      </w:r>
      <w:bookmarkEnd w:id="2"/>
    </w:p>
    <w:p>
      <w:pPr>
        <w:spacing w:line="540" w:lineRule="exact"/>
        <w:ind w:firstLine="640" w:firstLineChars="200"/>
        <w:rPr>
          <w:rFonts w:ascii="黑体" w:hAnsi="黑体" w:eastAsia="黑体"/>
          <w:color w:val="auto"/>
          <w:kern w:val="0"/>
          <w:sz w:val="32"/>
          <w:szCs w:val="32"/>
        </w:rPr>
      </w:pPr>
      <w:r>
        <w:rPr>
          <w:rFonts w:hint="eastAsia" w:ascii="黑体" w:hAnsi="黑体" w:eastAsia="黑体"/>
          <w:color w:val="auto"/>
          <w:kern w:val="0"/>
          <w:sz w:val="32"/>
          <w:szCs w:val="32"/>
        </w:rPr>
        <w:t>第三部分 专业名词解释</w:t>
      </w:r>
    </w:p>
    <w:p>
      <w:pPr>
        <w:spacing w:line="540" w:lineRule="exact"/>
        <w:ind w:firstLine="640" w:firstLineChars="200"/>
        <w:rPr>
          <w:rFonts w:ascii="黑体" w:hAnsi="黑体" w:eastAsia="黑体"/>
          <w:color w:val="auto"/>
          <w:kern w:val="0"/>
          <w:sz w:val="32"/>
          <w:szCs w:val="32"/>
        </w:rPr>
      </w:pPr>
      <w:r>
        <w:rPr>
          <w:rFonts w:hint="eastAsia" w:ascii="黑体" w:hAnsi="黑体" w:eastAsia="黑体"/>
          <w:color w:val="auto"/>
          <w:kern w:val="0"/>
          <w:sz w:val="32"/>
          <w:szCs w:val="32"/>
        </w:rPr>
        <w:t>第四部分 部</w:t>
      </w:r>
      <w:r>
        <w:rPr>
          <w:rFonts w:hint="eastAsia" w:ascii="黑体" w:hAnsi="黑体" w:eastAsia="黑体"/>
          <w:color w:val="auto"/>
          <w:sz w:val="32"/>
          <w:szCs w:val="32"/>
        </w:rPr>
        <w:t>门决算公开的8张报表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《收入支出决算总表》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《收入决算表》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《财政拨款收入支出决算总表》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《一般公共预算财政拨款支出决算表》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《一般公共预算财政拨款基本支出决算表》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《一般公共预算财政拨款“三公”经费支出决算表》</w:t>
      </w:r>
    </w:p>
    <w:p>
      <w:pPr>
        <w:spacing w:line="540" w:lineRule="exact"/>
        <w:ind w:firstLine="640" w:firstLineChars="200"/>
        <w:rPr>
          <w:rFonts w:ascii="仿宋_GB2312" w:hAnsi="宋体" w:eastAsia="仿宋_GB2312"/>
          <w:color w:val="auto"/>
          <w:sz w:val="32"/>
          <w:szCs w:val="32"/>
        </w:rPr>
      </w:pPr>
      <w:r>
        <w:rPr>
          <w:rFonts w:hint="eastAsia" w:ascii="仿宋_GB2312" w:eastAsia="仿宋_GB2312"/>
          <w:color w:val="auto"/>
          <w:sz w:val="32"/>
          <w:szCs w:val="32"/>
        </w:rPr>
        <w:t>《政府性基金预算财政拨款收入支出决算表》</w:t>
      </w:r>
    </w:p>
    <w:p>
      <w:pPr>
        <w:spacing w:line="540" w:lineRule="exact"/>
        <w:ind w:firstLine="640" w:firstLineChars="200"/>
        <w:rPr>
          <w:rFonts w:ascii="黑体" w:hAnsi="黑体" w:eastAsia="黑体"/>
          <w:color w:val="auto"/>
          <w:sz w:val="32"/>
          <w:szCs w:val="32"/>
        </w:rPr>
      </w:pPr>
    </w:p>
    <w:p>
      <w:pPr>
        <w:spacing w:line="540" w:lineRule="exact"/>
        <w:jc w:val="center"/>
        <w:rPr>
          <w:rFonts w:ascii="黑体" w:hAnsi="黑体" w:eastAsia="黑体"/>
          <w:color w:val="auto"/>
          <w:sz w:val="32"/>
          <w:szCs w:val="32"/>
        </w:rPr>
      </w:pPr>
      <w:r>
        <w:rPr>
          <w:rFonts w:hint="eastAsia" w:ascii="黑体" w:hAnsi="黑体" w:eastAsia="黑体"/>
          <w:color w:val="auto"/>
          <w:sz w:val="32"/>
          <w:szCs w:val="32"/>
        </w:rPr>
        <w:t>第一部分 部门单位概况</w:t>
      </w:r>
    </w:p>
    <w:p>
      <w:pPr>
        <w:spacing w:line="540" w:lineRule="exact"/>
        <w:ind w:firstLine="640" w:firstLineChars="200"/>
        <w:rPr>
          <w:rFonts w:ascii="黑体" w:hAnsi="黑体" w:eastAsia="黑体" w:cs="宋体"/>
          <w:bCs/>
          <w:color w:val="auto"/>
          <w:kern w:val="0"/>
          <w:sz w:val="32"/>
          <w:szCs w:val="32"/>
        </w:rPr>
      </w:pPr>
      <w:r>
        <w:rPr>
          <w:rFonts w:hint="eastAsia" w:ascii="黑体" w:hAnsi="黑体" w:eastAsia="黑体" w:cs="宋体"/>
          <w:bCs/>
          <w:color w:val="auto"/>
          <w:kern w:val="0"/>
          <w:sz w:val="32"/>
          <w:szCs w:val="32"/>
        </w:rPr>
        <w:t>一、主要职能</w:t>
      </w:r>
    </w:p>
    <w:p>
      <w:pPr>
        <w:spacing w:line="500" w:lineRule="exact"/>
        <w:rPr>
          <w:rFonts w:ascii="黑体" w:hAnsi="黑体" w:eastAsia="黑体" w:cs="宋体"/>
          <w:bCs/>
          <w:color w:val="auto"/>
          <w:kern w:val="0"/>
          <w:sz w:val="32"/>
          <w:szCs w:val="32"/>
        </w:rPr>
      </w:pPr>
      <w:r>
        <w:rPr>
          <w:rFonts w:hint="eastAsia" w:ascii="仿宋_GB2312" w:eastAsia="仿宋_GB2312"/>
          <w:color w:val="auto"/>
          <w:sz w:val="32"/>
          <w:szCs w:val="32"/>
        </w:rPr>
        <w:t xml:space="preserve">    贯彻执行国家及自治区有关粮食的法律、法规、规章和方针政策，协调整顿和规范市场经济秩序工作。做好市场经济运行分析及粮食收购、销售工作。 </w:t>
      </w:r>
    </w:p>
    <w:p>
      <w:pPr>
        <w:spacing w:line="540" w:lineRule="exact"/>
        <w:ind w:firstLine="640" w:firstLineChars="200"/>
        <w:rPr>
          <w:rFonts w:ascii="黑体" w:hAnsi="黑体" w:eastAsia="黑体" w:cs="宋体"/>
          <w:bCs/>
          <w:color w:val="auto"/>
          <w:kern w:val="0"/>
          <w:sz w:val="32"/>
          <w:szCs w:val="32"/>
        </w:rPr>
      </w:pPr>
      <w:r>
        <w:rPr>
          <w:rFonts w:hint="eastAsia" w:ascii="黑体" w:hAnsi="黑体" w:eastAsia="黑体" w:cs="宋体"/>
          <w:bCs/>
          <w:color w:val="auto"/>
          <w:kern w:val="0"/>
          <w:sz w:val="32"/>
          <w:szCs w:val="32"/>
        </w:rPr>
        <w:t>二、机构设置情况</w:t>
      </w:r>
    </w:p>
    <w:p>
      <w:pPr>
        <w:spacing w:line="540" w:lineRule="exact"/>
        <w:ind w:firstLine="640" w:firstLineChars="200"/>
        <w:rPr>
          <w:rFonts w:ascii="仿宋_GB2312" w:hAnsi="宋体" w:eastAsia="仿宋_GB2312" w:cs="宋体"/>
          <w:color w:val="auto"/>
          <w:kern w:val="0"/>
          <w:sz w:val="32"/>
          <w:szCs w:val="32"/>
        </w:rPr>
      </w:pPr>
      <w:bookmarkStart w:id="3" w:name="OLE_LINK51"/>
      <w:r>
        <w:rPr>
          <w:rFonts w:hint="eastAsia" w:ascii="仿宋_GB2312" w:eastAsia="仿宋_GB2312"/>
          <w:color w:val="auto"/>
          <w:sz w:val="32"/>
          <w:szCs w:val="32"/>
        </w:rPr>
        <w:t>从决算单位构成看，</w:t>
      </w:r>
      <w:r>
        <w:rPr>
          <w:rFonts w:ascii="仿宋_GB2312" w:eastAsia="仿宋_GB2312"/>
          <w:color w:val="auto"/>
          <w:sz w:val="32"/>
          <w:szCs w:val="32"/>
        </w:rPr>
        <w:t>新疆喀什地区英吉沙县粮食局</w:t>
      </w:r>
      <w:r>
        <w:rPr>
          <w:rFonts w:hint="eastAsia" w:ascii="仿宋_GB2312" w:eastAsia="仿宋_GB2312"/>
          <w:color w:val="auto"/>
          <w:sz w:val="32"/>
          <w:szCs w:val="32"/>
        </w:rPr>
        <w:t>部门决算包括：</w:t>
      </w:r>
      <w:r>
        <w:rPr>
          <w:rFonts w:ascii="仿宋_GB2312" w:eastAsia="仿宋_GB2312"/>
          <w:color w:val="auto"/>
          <w:sz w:val="32"/>
          <w:szCs w:val="32"/>
        </w:rPr>
        <w:t>新疆喀什地区英吉沙县粮食局</w:t>
      </w:r>
      <w:r>
        <w:rPr>
          <w:rFonts w:hint="eastAsia" w:ascii="仿宋_GB2312" w:eastAsia="仿宋_GB2312"/>
          <w:color w:val="auto"/>
          <w:sz w:val="32"/>
          <w:szCs w:val="32"/>
        </w:rPr>
        <w:t>部门本级决算、所属单位决算等。</w:t>
      </w:r>
    </w:p>
    <w:p>
      <w:pPr>
        <w:spacing w:line="540" w:lineRule="exact"/>
        <w:ind w:firstLine="640" w:firstLineChars="200"/>
        <w:rPr>
          <w:rFonts w:ascii="仿宋_GB2312" w:eastAsia="仿宋_GB2312"/>
          <w:color w:val="auto"/>
          <w:spacing w:val="-6"/>
          <w:sz w:val="32"/>
          <w:szCs w:val="32"/>
        </w:rPr>
      </w:pPr>
      <w:r>
        <w:rPr>
          <w:rFonts w:hint="eastAsia" w:ascii="仿宋_GB2312" w:eastAsia="仿宋_GB2312"/>
          <w:color w:val="auto"/>
          <w:sz w:val="32"/>
          <w:szCs w:val="32"/>
        </w:rPr>
        <w:t>纳入</w:t>
      </w:r>
      <w:r>
        <w:rPr>
          <w:rFonts w:ascii="仿宋_GB2312" w:eastAsia="仿宋_GB2312"/>
          <w:color w:val="auto"/>
          <w:sz w:val="32"/>
          <w:szCs w:val="32"/>
        </w:rPr>
        <w:t>新疆喀什地区英吉沙县粮食局</w:t>
      </w:r>
      <w:r>
        <w:rPr>
          <w:rFonts w:hint="eastAsia" w:ascii="仿宋_GB2312" w:eastAsia="仿宋_GB2312"/>
          <w:color w:val="auto"/>
          <w:sz w:val="32"/>
          <w:szCs w:val="32"/>
        </w:rPr>
        <w:t>2018年部门决算编制范围的单位名单见下表</w:t>
      </w:r>
      <w:r>
        <w:rPr>
          <w:rFonts w:hint="eastAsia" w:ascii="仿宋_GB2312" w:eastAsia="仿宋_GB2312"/>
          <w:color w:val="auto"/>
          <w:spacing w:val="-6"/>
          <w:sz w:val="32"/>
          <w:szCs w:val="32"/>
        </w:rPr>
        <w:t>：</w:t>
      </w:r>
      <w:bookmarkEnd w:id="3"/>
    </w:p>
    <w:p>
      <w:pPr>
        <w:spacing w:line="540" w:lineRule="exact"/>
        <w:ind w:firstLine="616" w:firstLineChars="200"/>
        <w:rPr>
          <w:rFonts w:ascii="仿宋_GB2312" w:eastAsia="仿宋_GB2312"/>
          <w:color w:val="auto"/>
          <w:spacing w:val="-6"/>
          <w:sz w:val="32"/>
          <w:szCs w:val="32"/>
        </w:rPr>
      </w:pPr>
    </w:p>
    <w:p>
      <w:pPr>
        <w:spacing w:line="540" w:lineRule="exact"/>
        <w:ind w:firstLine="616" w:firstLineChars="200"/>
        <w:rPr>
          <w:rFonts w:ascii="仿宋_GB2312" w:eastAsia="仿宋_GB2312"/>
          <w:color w:val="auto"/>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序号</w:t>
            </w:r>
          </w:p>
        </w:tc>
        <w:tc>
          <w:tcPr>
            <w:tcW w:w="3870" w:type="dxa"/>
            <w:vAlign w:val="center"/>
          </w:tcPr>
          <w:p>
            <w:pPr>
              <w:spacing w:line="5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单位名称</w:t>
            </w:r>
          </w:p>
        </w:tc>
        <w:tc>
          <w:tcPr>
            <w:tcW w:w="2538" w:type="dxa"/>
            <w:vAlign w:val="center"/>
          </w:tcPr>
          <w:p>
            <w:pPr>
              <w:spacing w:line="500" w:lineRule="exact"/>
              <w:ind w:firstLine="1280" w:firstLineChars="400"/>
              <w:rPr>
                <w:rFonts w:ascii="仿宋_GB2312" w:eastAsia="仿宋_GB2312"/>
                <w:color w:val="auto"/>
                <w:sz w:val="32"/>
                <w:szCs w:val="32"/>
                <w:highlight w:val="yellow"/>
              </w:rPr>
            </w:pPr>
            <w:r>
              <w:rPr>
                <w:rFonts w:hint="eastAsia" w:ascii="仿宋_GB2312" w:eastAsia="仿宋_GB2312"/>
                <w:color w:val="auto"/>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rPr>
                <w:color w:val="auto"/>
              </w:rPr>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rPr>
                <w:color w:val="auto"/>
              </w:rPr>
            </w:pPr>
            <w:r>
              <w:rPr>
                <w:rFonts w:ascii="Times New Roman" w:hAnsi="Times New Roman" w:eastAsia="Times New Roman" w:cs="Times New Roman"/>
                <w:b w:val="0"/>
                <w:i w:val="0"/>
                <w:strike w:val="0"/>
                <w:color w:val="auto"/>
                <w:position w:val="-1"/>
                <w:sz w:val="32"/>
                <w:u w:val="none"/>
              </w:rPr>
              <w:t>新疆喀什地区英吉沙县粮食局</w:t>
            </w:r>
          </w:p>
        </w:tc>
        <w:tc>
          <w:tcPr>
            <w:tcW w:w="2538" w:type="dxa"/>
            <w:vAlign w:val="center"/>
          </w:tcPr>
          <w:p>
            <w:pPr>
              <w:pageBreakBefore w:val="0"/>
              <w:spacing w:line="500" w:lineRule="exact"/>
              <w:ind w:firstLine="420" w:firstLineChars="200"/>
              <w:jc w:val="left"/>
              <w:textAlignment w:val="auto"/>
              <w:rPr>
                <w:color w:val="auto"/>
              </w:rPr>
            </w:pPr>
          </w:p>
        </w:tc>
      </w:tr>
    </w:tbl>
    <w:p>
      <w:pPr>
        <w:spacing w:line="500" w:lineRule="exact"/>
        <w:rPr>
          <w:rFonts w:ascii="仿宋_GB2312" w:hAnsi="宋体" w:eastAsia="仿宋_GB2312" w:cs="宋体"/>
          <w:color w:val="auto"/>
          <w:kern w:val="0"/>
          <w:sz w:val="32"/>
          <w:szCs w:val="32"/>
        </w:rPr>
      </w:pPr>
    </w:p>
    <w:p>
      <w:pPr>
        <w:spacing w:line="500" w:lineRule="exact"/>
        <w:rPr>
          <w:rFonts w:ascii="仿宋_GB2312" w:hAnsi="宋体" w:eastAsia="仿宋_GB2312" w:cs="宋体"/>
          <w:color w:val="auto"/>
          <w:kern w:val="0"/>
          <w:sz w:val="32"/>
          <w:szCs w:val="32"/>
        </w:rPr>
      </w:pPr>
    </w:p>
    <w:p>
      <w:pPr>
        <w:spacing w:line="540" w:lineRule="exact"/>
        <w:jc w:val="center"/>
        <w:rPr>
          <w:rFonts w:ascii="黑体" w:hAnsi="黑体" w:eastAsia="黑体"/>
          <w:color w:val="auto"/>
          <w:sz w:val="32"/>
          <w:szCs w:val="32"/>
        </w:rPr>
      </w:pPr>
      <w:r>
        <w:rPr>
          <w:rFonts w:hint="eastAsia" w:ascii="黑体" w:hAnsi="黑体" w:eastAsia="黑体"/>
          <w:color w:val="auto"/>
          <w:sz w:val="32"/>
          <w:szCs w:val="32"/>
        </w:rPr>
        <w:t>第二部分 部门决算情况说明</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一、部门收支总体情况</w:t>
      </w:r>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（一）部门收入支出决算总体情况说明</w:t>
      </w:r>
    </w:p>
    <w:p>
      <w:pPr>
        <w:spacing w:line="540" w:lineRule="exact"/>
        <w:ind w:firstLine="640" w:firstLineChars="200"/>
        <w:rPr>
          <w:rFonts w:ascii="仿宋_GB2312" w:hAnsi="Calibri" w:eastAsia="仿宋_GB2312"/>
          <w:color w:val="auto"/>
          <w:sz w:val="32"/>
          <w:szCs w:val="32"/>
          <w:lang w:val="en-GB"/>
        </w:rPr>
      </w:pPr>
      <w:bookmarkStart w:id="4" w:name="OLE_LINK99"/>
      <w:bookmarkStart w:id="5" w:name="OLE_LINK100"/>
      <w:bookmarkStart w:id="6" w:name="OLE_LINK52"/>
      <w:r>
        <w:rPr>
          <w:rFonts w:hint="eastAsia" w:ascii="仿宋_GB2312" w:eastAsia="仿宋_GB2312"/>
          <w:color w:val="auto"/>
          <w:sz w:val="32"/>
          <w:szCs w:val="32"/>
        </w:rPr>
        <w:t>2018年度收入</w:t>
      </w:r>
      <w:r>
        <w:rPr>
          <w:rFonts w:hint="eastAsia" w:ascii="仿宋_GB2312" w:eastAsia="仿宋_GB2312"/>
          <w:color w:val="auto"/>
          <w:sz w:val="32"/>
          <w:szCs w:val="32"/>
        </w:rPr>
        <w:t>25.1</w:t>
      </w:r>
      <w:r>
        <w:rPr>
          <w:rFonts w:hint="eastAsia" w:ascii="仿宋_GB2312" w:eastAsia="仿宋_GB2312"/>
          <w:color w:val="auto"/>
          <w:sz w:val="32"/>
          <w:szCs w:val="32"/>
        </w:rPr>
        <w:t>万元</w:t>
      </w:r>
      <w:bookmarkEnd w:id="4"/>
      <w:bookmarkEnd w:id="5"/>
      <w:r>
        <w:rPr>
          <w:rFonts w:hint="eastAsia" w:ascii="仿宋_GB2312" w:eastAsia="仿宋_GB2312"/>
          <w:color w:val="auto"/>
          <w:sz w:val="32"/>
          <w:szCs w:val="32"/>
        </w:rPr>
        <w:t>，与上年相比，减少57.82万元，下降69.73%，减少的主要原因是：</w:t>
      </w:r>
      <w:r>
        <w:rPr>
          <w:rFonts w:hint="eastAsia" w:ascii="仿宋_GB2312" w:eastAsia="仿宋_GB2312"/>
          <w:color w:val="auto"/>
          <w:sz w:val="32"/>
          <w:szCs w:val="32"/>
        </w:rPr>
        <w:t>人员工资调增，项目收入净减少60万元，其项目收入减少原因是其他资本性支出减少；主要2017年已经完成了粮食产业化发展专项资金，2018年没有此方面的项目；</w:t>
      </w:r>
      <w:bookmarkEnd w:id="6"/>
      <w:bookmarkStart w:id="7" w:name="OLE_LINK53"/>
      <w:r>
        <w:rPr>
          <w:rFonts w:hint="eastAsia" w:ascii="仿宋_GB2312" w:eastAsia="仿宋_GB2312"/>
          <w:color w:val="auto"/>
          <w:sz w:val="32"/>
          <w:szCs w:val="32"/>
        </w:rPr>
        <w:t>支出</w:t>
      </w:r>
      <w:r>
        <w:rPr>
          <w:rFonts w:hint="eastAsia" w:ascii="仿宋_GB2312" w:eastAsia="仿宋_GB2312"/>
          <w:color w:val="auto"/>
          <w:sz w:val="32"/>
          <w:szCs w:val="32"/>
        </w:rPr>
        <w:t>25.1</w:t>
      </w:r>
      <w:r>
        <w:rPr>
          <w:rFonts w:hint="eastAsia" w:ascii="仿宋_GB2312" w:eastAsia="仿宋_GB2312"/>
          <w:color w:val="auto"/>
          <w:sz w:val="32"/>
          <w:szCs w:val="32"/>
        </w:rPr>
        <w:t>万元</w:t>
      </w:r>
      <w:r>
        <w:rPr>
          <w:rFonts w:hint="eastAsia" w:ascii="仿宋_GB2312" w:eastAsia="仿宋_GB2312"/>
          <w:color w:val="auto"/>
          <w:sz w:val="32"/>
          <w:szCs w:val="32"/>
        </w:rPr>
        <w:t>，与上年相比，减少57.82万元，下降69.73%，减少的主要原因是：</w:t>
      </w:r>
      <w:r>
        <w:rPr>
          <w:rFonts w:hint="eastAsia" w:ascii="仿宋_GB2312" w:eastAsia="仿宋_GB2312"/>
          <w:color w:val="auto"/>
          <w:sz w:val="32"/>
          <w:szCs w:val="32"/>
        </w:rPr>
        <w:t>人员工资调增，项目支出净减少60万元，其项目支出减少原因是其他资本性支出减少；主要2017年已经完成了粮食产业化，发展专项资金支出，2018年没有此方面的项目；</w:t>
      </w:r>
      <w:bookmarkEnd w:id="7"/>
      <w:bookmarkStart w:id="8" w:name="OLE_LINK54"/>
      <w:r>
        <w:rPr>
          <w:rFonts w:hint="eastAsia" w:ascii="仿宋_GB2312" w:eastAsia="仿宋_GB2312"/>
          <w:color w:val="auto"/>
          <w:sz w:val="32"/>
          <w:szCs w:val="32"/>
        </w:rPr>
        <w:t>结余</w:t>
      </w:r>
      <w:r>
        <w:rPr>
          <w:rFonts w:hint="eastAsia" w:ascii="仿宋_GB2312" w:eastAsia="仿宋_GB2312"/>
          <w:color w:val="auto"/>
          <w:sz w:val="32"/>
          <w:szCs w:val="32"/>
        </w:rPr>
        <w:t>0</w:t>
      </w:r>
      <w:r>
        <w:rPr>
          <w:rFonts w:hint="eastAsia" w:ascii="仿宋_GB2312" w:eastAsia="仿宋_GB2312"/>
          <w:color w:val="auto"/>
          <w:sz w:val="32"/>
          <w:szCs w:val="32"/>
        </w:rPr>
        <w:t>万元</w:t>
      </w:r>
      <w:r>
        <w:rPr>
          <w:rFonts w:hint="eastAsia" w:ascii="仿宋_GB2312" w:eastAsia="仿宋_GB2312"/>
          <w:color w:val="auto"/>
          <w:sz w:val="32"/>
          <w:szCs w:val="32"/>
        </w:rPr>
        <w:t>，与上年相比无变化，主要原因是：</w:t>
      </w:r>
      <w:r>
        <w:rPr>
          <w:rFonts w:ascii="仿宋_GB2312" w:eastAsia="仿宋_GB2312"/>
          <w:color w:val="auto"/>
          <w:sz w:val="32"/>
          <w:szCs w:val="32"/>
        </w:rPr>
        <w:t>项目执行到位，年末无结余结转。</w:t>
      </w:r>
      <w:bookmarkEnd w:id="8"/>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（二）部门收入总体情况说明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本年收入合计</w:t>
      </w:r>
      <w:r>
        <w:rPr>
          <w:rFonts w:hint="eastAsia" w:ascii="仿宋_GB2312" w:eastAsia="仿宋_GB2312"/>
          <w:color w:val="auto"/>
          <w:sz w:val="32"/>
          <w:szCs w:val="32"/>
        </w:rPr>
        <w:t>25.1</w:t>
      </w:r>
      <w:r>
        <w:rPr>
          <w:rFonts w:hint="eastAsia" w:ascii="仿宋_GB2312" w:eastAsia="仿宋_GB2312"/>
          <w:color w:val="auto"/>
          <w:sz w:val="32"/>
          <w:szCs w:val="32"/>
        </w:rPr>
        <w:t>万元，其中：</w:t>
      </w:r>
      <w:bookmarkStart w:id="9" w:name="OLE_LINK1"/>
      <w:r>
        <w:rPr>
          <w:rFonts w:hint="eastAsia" w:ascii="仿宋_GB2312" w:eastAsia="仿宋_GB2312"/>
          <w:color w:val="auto"/>
          <w:sz w:val="32"/>
          <w:szCs w:val="32"/>
        </w:rPr>
        <w:t>财政拨款收入</w:t>
      </w:r>
      <w:bookmarkEnd w:id="9"/>
      <w:r>
        <w:rPr>
          <w:rFonts w:hint="eastAsia" w:ascii="仿宋_GB2312" w:eastAsia="仿宋_GB2312"/>
          <w:color w:val="auto"/>
          <w:sz w:val="32"/>
          <w:szCs w:val="32"/>
        </w:rPr>
        <w:t>25.1</w:t>
      </w:r>
      <w:r>
        <w:rPr>
          <w:rFonts w:hint="eastAsia" w:ascii="仿宋_GB2312" w:eastAsia="仿宋_GB2312"/>
          <w:color w:val="auto"/>
          <w:sz w:val="32"/>
          <w:szCs w:val="32"/>
        </w:rPr>
        <w:t>万元，占</w:t>
      </w:r>
      <w:r>
        <w:rPr>
          <w:rFonts w:hint="eastAsia" w:ascii="仿宋_GB2312" w:eastAsia="仿宋_GB2312"/>
          <w:color w:val="auto"/>
          <w:sz w:val="32"/>
          <w:szCs w:val="32"/>
        </w:rPr>
        <w:t>100%</w:t>
      </w:r>
      <w:r>
        <w:rPr>
          <w:rFonts w:hint="eastAsia" w:ascii="仿宋_GB2312" w:eastAsia="仿宋_GB2312"/>
          <w:color w:val="auto"/>
          <w:sz w:val="32"/>
          <w:szCs w:val="32"/>
        </w:rPr>
        <w:t>；</w:t>
      </w:r>
      <w:bookmarkStart w:id="10" w:name="OLE_LINK2"/>
      <w:r>
        <w:rPr>
          <w:rFonts w:hint="eastAsia" w:ascii="仿宋_GB2312" w:eastAsia="仿宋_GB2312"/>
          <w:color w:val="auto"/>
          <w:sz w:val="32"/>
          <w:szCs w:val="32"/>
        </w:rPr>
        <w:t>上级补助收入</w:t>
      </w:r>
      <w:bookmarkEnd w:id="10"/>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bookmarkStart w:id="11" w:name="OLE_LINK3"/>
      <w:r>
        <w:rPr>
          <w:rFonts w:hint="eastAsia" w:ascii="仿宋_GB2312" w:eastAsia="仿宋_GB2312"/>
          <w:color w:val="auto"/>
          <w:sz w:val="32"/>
          <w:szCs w:val="32"/>
        </w:rPr>
        <w:t>事业收入</w:t>
      </w:r>
      <w:bookmarkEnd w:id="11"/>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bookmarkStart w:id="12" w:name="OLE_LINK4"/>
      <w:r>
        <w:rPr>
          <w:rFonts w:hint="eastAsia" w:ascii="仿宋_GB2312" w:eastAsia="仿宋_GB2312"/>
          <w:color w:val="auto"/>
          <w:sz w:val="32"/>
          <w:szCs w:val="32"/>
        </w:rPr>
        <w:t>经营收入</w:t>
      </w:r>
      <w:bookmarkEnd w:id="12"/>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bookmarkStart w:id="13" w:name="OLE_LINK5"/>
      <w:r>
        <w:rPr>
          <w:rFonts w:hint="eastAsia" w:ascii="仿宋_GB2312" w:eastAsia="仿宋_GB2312"/>
          <w:color w:val="auto"/>
          <w:sz w:val="32"/>
          <w:szCs w:val="32"/>
        </w:rPr>
        <w:t>附属单位缴款</w:t>
      </w:r>
      <w:bookmarkEnd w:id="13"/>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bookmarkStart w:id="14" w:name="OLE_LINK6"/>
      <w:r>
        <w:rPr>
          <w:rFonts w:hint="eastAsia" w:ascii="仿宋_GB2312" w:eastAsia="仿宋_GB2312"/>
          <w:color w:val="auto"/>
          <w:sz w:val="32"/>
          <w:szCs w:val="32"/>
        </w:rPr>
        <w:t>其他收入</w:t>
      </w:r>
      <w:bookmarkEnd w:id="14"/>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p>
    <w:p>
      <w:pPr>
        <w:spacing w:line="540" w:lineRule="exact"/>
        <w:ind w:firstLine="640" w:firstLineChars="200"/>
        <w:rPr>
          <w:rFonts w:ascii="仿宋_GB2312" w:eastAsia="仿宋_GB2312"/>
          <w:color w:val="auto"/>
          <w:sz w:val="32"/>
          <w:szCs w:val="32"/>
        </w:rPr>
      </w:pPr>
      <w:bookmarkStart w:id="15" w:name="OLE_LINK55"/>
      <w:r>
        <w:rPr>
          <w:rFonts w:hint="eastAsia" w:ascii="仿宋_GB2312" w:eastAsia="仿宋_GB2312"/>
          <w:color w:val="auto"/>
          <w:sz w:val="32"/>
          <w:szCs w:val="32"/>
        </w:rPr>
        <w:t>与年初预算数相比情</w:t>
      </w:r>
      <w:r>
        <w:rPr>
          <w:rFonts w:hint="eastAsia" w:ascii="仿宋_GB2312" w:eastAsia="仿宋_GB2312"/>
          <w:color w:val="auto"/>
          <w:sz w:val="32"/>
          <w:szCs w:val="32"/>
        </w:rPr>
        <w:t>况：本年收入年初预算数23.61万元</w:t>
      </w:r>
      <w:r>
        <w:rPr>
          <w:rFonts w:hint="eastAsia" w:ascii="仿宋_GB2312" w:eastAsia="仿宋_GB2312"/>
          <w:color w:val="auto"/>
          <w:sz w:val="32"/>
          <w:szCs w:val="32"/>
        </w:rPr>
        <w:t>，决算数25.1万元</w:t>
      </w:r>
      <w:r>
        <w:rPr>
          <w:rFonts w:ascii="仿宋_GB2312" w:eastAsia="仿宋_GB2312"/>
          <w:color w:val="auto"/>
          <w:sz w:val="32"/>
          <w:szCs w:val="32"/>
        </w:rPr>
        <w:t>，预决算差异率6.31%，差异主要原因是本年工资调增。</w:t>
      </w:r>
      <w:bookmarkEnd w:id="15"/>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（三）部门支出总体情况说明</w:t>
      </w:r>
    </w:p>
    <w:p>
      <w:pPr>
        <w:spacing w:line="540" w:lineRule="exact"/>
        <w:ind w:firstLine="640" w:firstLineChars="200"/>
        <w:rPr>
          <w:rFonts w:ascii="仿宋_GB2312" w:eastAsia="仿宋_GB2312"/>
          <w:color w:val="auto"/>
          <w:spacing w:val="-6"/>
          <w:sz w:val="32"/>
          <w:szCs w:val="32"/>
        </w:rPr>
      </w:pPr>
      <w:bookmarkStart w:id="16" w:name="OLE_LINK7"/>
      <w:r>
        <w:rPr>
          <w:rFonts w:hint="eastAsia" w:ascii="仿宋_GB2312" w:eastAsia="仿宋_GB2312"/>
          <w:color w:val="auto"/>
          <w:sz w:val="32"/>
          <w:szCs w:val="32"/>
        </w:rPr>
        <w:t>本年支出合计</w:t>
      </w:r>
      <w:bookmarkEnd w:id="16"/>
      <w:r>
        <w:rPr>
          <w:rFonts w:hint="eastAsia" w:ascii="仿宋_GB2312" w:eastAsia="仿宋_GB2312"/>
          <w:color w:val="auto"/>
          <w:sz w:val="32"/>
          <w:szCs w:val="32"/>
        </w:rPr>
        <w:t>25.1</w:t>
      </w:r>
      <w:r>
        <w:rPr>
          <w:rFonts w:hint="eastAsia" w:ascii="仿宋_GB2312" w:eastAsia="仿宋_GB2312"/>
          <w:color w:val="auto"/>
          <w:sz w:val="32"/>
          <w:szCs w:val="32"/>
        </w:rPr>
        <w:t>万元，其中：</w:t>
      </w:r>
      <w:bookmarkStart w:id="17" w:name="OLE_LINK8"/>
      <w:r>
        <w:rPr>
          <w:rFonts w:hint="eastAsia" w:ascii="仿宋_GB2312" w:eastAsia="仿宋_GB2312"/>
          <w:color w:val="auto"/>
          <w:sz w:val="32"/>
          <w:szCs w:val="32"/>
        </w:rPr>
        <w:t>基本支出</w:t>
      </w:r>
      <w:bookmarkEnd w:id="17"/>
      <w:r>
        <w:rPr>
          <w:rFonts w:hint="eastAsia" w:ascii="仿宋_GB2312" w:eastAsia="仿宋_GB2312"/>
          <w:color w:val="auto"/>
          <w:sz w:val="32"/>
          <w:szCs w:val="32"/>
        </w:rPr>
        <w:t>25.1</w:t>
      </w:r>
      <w:r>
        <w:rPr>
          <w:rFonts w:hint="eastAsia" w:ascii="仿宋_GB2312" w:eastAsia="仿宋_GB2312"/>
          <w:color w:val="auto"/>
          <w:sz w:val="32"/>
          <w:szCs w:val="32"/>
        </w:rPr>
        <w:t>万元，占</w:t>
      </w:r>
      <w:r>
        <w:rPr>
          <w:rFonts w:hint="eastAsia" w:ascii="仿宋_GB2312" w:eastAsia="仿宋_GB2312"/>
          <w:color w:val="auto"/>
          <w:sz w:val="32"/>
          <w:szCs w:val="32"/>
        </w:rPr>
        <w:t>100%</w:t>
      </w:r>
      <w:r>
        <w:rPr>
          <w:rFonts w:hint="eastAsia" w:ascii="仿宋_GB2312" w:eastAsia="仿宋_GB2312"/>
          <w:color w:val="auto"/>
          <w:sz w:val="32"/>
          <w:szCs w:val="32"/>
        </w:rPr>
        <w:t>；</w:t>
      </w:r>
      <w:bookmarkStart w:id="18" w:name="OLE_LINK9"/>
      <w:r>
        <w:rPr>
          <w:rFonts w:hint="eastAsia" w:ascii="仿宋_GB2312" w:eastAsia="仿宋_GB2312"/>
          <w:color w:val="auto"/>
          <w:sz w:val="32"/>
          <w:szCs w:val="32"/>
        </w:rPr>
        <w:t>项目支出</w:t>
      </w:r>
      <w:bookmarkEnd w:id="18"/>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bookmarkStart w:id="19" w:name="OLE_LINK10"/>
      <w:r>
        <w:rPr>
          <w:rFonts w:hint="eastAsia" w:ascii="仿宋_GB2312" w:eastAsia="仿宋_GB2312"/>
          <w:color w:val="auto"/>
          <w:sz w:val="32"/>
          <w:szCs w:val="32"/>
        </w:rPr>
        <w:t>上缴上级支出</w:t>
      </w:r>
      <w:bookmarkEnd w:id="19"/>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rPr>
        <w:t>；</w:t>
      </w:r>
      <w:bookmarkStart w:id="20" w:name="OLE_LINK11"/>
      <w:r>
        <w:rPr>
          <w:rFonts w:hint="eastAsia" w:ascii="仿宋_GB2312" w:eastAsia="仿宋_GB2312"/>
          <w:color w:val="auto"/>
          <w:spacing w:val="-6"/>
          <w:sz w:val="32"/>
          <w:szCs w:val="32"/>
        </w:rPr>
        <w:t>经营支出</w:t>
      </w:r>
      <w:bookmarkEnd w:id="20"/>
      <w:r>
        <w:rPr>
          <w:rFonts w:hint="eastAsia" w:ascii="仿宋_GB2312" w:eastAsia="仿宋_GB2312"/>
          <w:color w:val="auto"/>
          <w:sz w:val="32"/>
          <w:szCs w:val="32"/>
        </w:rPr>
        <w:t>0</w:t>
      </w:r>
      <w:r>
        <w:rPr>
          <w:rFonts w:hint="eastAsia" w:ascii="仿宋_GB2312" w:eastAsia="仿宋_GB2312"/>
          <w:color w:val="auto"/>
          <w:spacing w:val="-6"/>
          <w:sz w:val="32"/>
          <w:szCs w:val="32"/>
        </w:rPr>
        <w:t>万元，占</w:t>
      </w:r>
      <w:r>
        <w:rPr>
          <w:rFonts w:hint="eastAsia" w:ascii="仿宋_GB2312" w:eastAsia="仿宋_GB2312"/>
          <w:color w:val="auto"/>
          <w:sz w:val="32"/>
          <w:szCs w:val="32"/>
        </w:rPr>
        <w:t>0%</w:t>
      </w:r>
      <w:r>
        <w:rPr>
          <w:rFonts w:hint="eastAsia" w:ascii="仿宋_GB2312" w:eastAsia="仿宋_GB2312"/>
          <w:color w:val="auto"/>
          <w:spacing w:val="-6"/>
          <w:sz w:val="32"/>
          <w:szCs w:val="32"/>
        </w:rPr>
        <w:t>；</w:t>
      </w:r>
      <w:bookmarkStart w:id="21" w:name="OLE_LINK12"/>
      <w:r>
        <w:rPr>
          <w:rFonts w:hint="eastAsia" w:ascii="仿宋_GB2312" w:eastAsia="仿宋_GB2312"/>
          <w:color w:val="auto"/>
          <w:spacing w:val="-6"/>
          <w:sz w:val="32"/>
          <w:szCs w:val="32"/>
        </w:rPr>
        <w:t>对附属单位补助支出</w:t>
      </w:r>
      <w:bookmarkEnd w:id="21"/>
      <w:r>
        <w:rPr>
          <w:rFonts w:hint="eastAsia" w:ascii="仿宋_GB2312" w:eastAsia="仿宋_GB2312"/>
          <w:color w:val="auto"/>
          <w:sz w:val="32"/>
          <w:szCs w:val="32"/>
        </w:rPr>
        <w:t>0</w:t>
      </w:r>
      <w:r>
        <w:rPr>
          <w:rFonts w:hint="eastAsia" w:ascii="仿宋_GB2312" w:eastAsia="仿宋_GB2312"/>
          <w:color w:val="auto"/>
          <w:spacing w:val="-6"/>
          <w:sz w:val="32"/>
          <w:szCs w:val="32"/>
        </w:rPr>
        <w:t>万元，占</w:t>
      </w:r>
      <w:r>
        <w:rPr>
          <w:rFonts w:hint="eastAsia" w:ascii="仿宋_GB2312" w:eastAsia="仿宋_GB2312"/>
          <w:color w:val="auto"/>
          <w:sz w:val="32"/>
          <w:szCs w:val="32"/>
        </w:rPr>
        <w:t>0%</w:t>
      </w:r>
    </w:p>
    <w:p>
      <w:pPr>
        <w:spacing w:line="540" w:lineRule="exact"/>
        <w:ind w:firstLine="640" w:firstLineChars="200"/>
        <w:rPr>
          <w:rFonts w:ascii="仿宋_GB2312" w:eastAsia="仿宋_GB2312"/>
          <w:color w:val="auto"/>
          <w:sz w:val="32"/>
          <w:szCs w:val="32"/>
        </w:rPr>
      </w:pPr>
      <w:bookmarkStart w:id="22" w:name="OLE_LINK56"/>
      <w:r>
        <w:rPr>
          <w:rFonts w:hint="eastAsia" w:ascii="仿宋_GB2312" w:eastAsia="仿宋_GB2312"/>
          <w:color w:val="auto"/>
          <w:sz w:val="32"/>
          <w:szCs w:val="32"/>
        </w:rPr>
        <w:t>与年初预算数相比情况：本年支出年初预算数23.61万元，</w:t>
      </w:r>
      <w:r>
        <w:rPr>
          <w:rFonts w:hint="eastAsia" w:ascii="仿宋_GB2312" w:eastAsia="仿宋_GB2312"/>
          <w:color w:val="auto"/>
          <w:sz w:val="32"/>
          <w:szCs w:val="32"/>
        </w:rPr>
        <w:t>决算数25.1万元</w:t>
      </w:r>
      <w:r>
        <w:rPr>
          <w:rFonts w:ascii="仿宋_GB2312" w:eastAsia="仿宋_GB2312"/>
          <w:color w:val="auto"/>
          <w:sz w:val="32"/>
          <w:szCs w:val="32"/>
        </w:rPr>
        <w:t>，预决算差异率6.31%，差异主要原因是工资调增。</w:t>
      </w:r>
    </w:p>
    <w:bookmarkEnd w:id="22"/>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二、部门财政拨款收支情况</w:t>
      </w:r>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（一）财政拨款收支总体情况说明</w:t>
      </w:r>
    </w:p>
    <w:p>
      <w:pPr>
        <w:spacing w:line="540" w:lineRule="exact"/>
        <w:ind w:firstLine="640" w:firstLineChars="200"/>
        <w:rPr>
          <w:rFonts w:ascii="仿宋_GB2312" w:eastAsia="仿宋_GB2312"/>
          <w:color w:val="auto"/>
          <w:sz w:val="32"/>
          <w:szCs w:val="32"/>
        </w:rPr>
      </w:pPr>
      <w:bookmarkStart w:id="23" w:name="OLE_LINK58"/>
      <w:bookmarkStart w:id="24" w:name="OLE_LINK57"/>
      <w:r>
        <w:rPr>
          <w:rFonts w:hint="eastAsia" w:ascii="仿宋_GB2312" w:eastAsia="仿宋_GB2312"/>
          <w:color w:val="auto"/>
          <w:sz w:val="32"/>
          <w:szCs w:val="32"/>
        </w:rPr>
        <w:t>2018年度</w:t>
      </w:r>
      <w:bookmarkStart w:id="25" w:name="OLE_LINK13"/>
      <w:r>
        <w:rPr>
          <w:rFonts w:hint="eastAsia" w:ascii="仿宋_GB2312" w:eastAsia="仿宋_GB2312"/>
          <w:color w:val="auto"/>
          <w:sz w:val="32"/>
          <w:szCs w:val="32"/>
        </w:rPr>
        <w:t>财政拨款收入</w:t>
      </w:r>
      <w:bookmarkEnd w:id="25"/>
      <w:r>
        <w:rPr>
          <w:rFonts w:hint="eastAsia" w:ascii="仿宋_GB2312" w:eastAsia="仿宋_GB2312"/>
          <w:color w:val="auto"/>
          <w:sz w:val="32"/>
          <w:szCs w:val="32"/>
        </w:rPr>
        <w:t>25.1万元，与上年相比，减少57.82万元，下降69.73%，减少的主要原因</w:t>
      </w:r>
      <w:r>
        <w:rPr>
          <w:rFonts w:hint="eastAsia" w:ascii="仿宋_GB2312" w:eastAsia="仿宋_GB2312"/>
          <w:color w:val="auto"/>
          <w:sz w:val="32"/>
          <w:szCs w:val="32"/>
          <w:lang w:val="en-US" w:eastAsia="zh-CN"/>
        </w:rPr>
        <w:t>是</w:t>
      </w:r>
      <w:r>
        <w:rPr>
          <w:rFonts w:hint="eastAsia" w:ascii="仿宋_GB2312" w:eastAsia="仿宋_GB2312"/>
          <w:color w:val="auto"/>
          <w:sz w:val="32"/>
          <w:szCs w:val="32"/>
        </w:rPr>
        <w:t>：项目收入净减少60万元，其项目收入减少原因是</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其他资本性支出减少；主要2017年已经完成了粮食产业化发展专项资金，2018年没有此方面的项目。</w:t>
      </w:r>
      <w:bookmarkEnd w:id="23"/>
      <w:bookmarkEnd w:id="24"/>
      <w:bookmarkStart w:id="26" w:name="OLE_LINK14"/>
      <w:bookmarkStart w:id="27" w:name="OLE_LINK60"/>
      <w:bookmarkStart w:id="28" w:name="OLE_LINK59"/>
      <w:r>
        <w:rPr>
          <w:rFonts w:hint="eastAsia" w:ascii="仿宋_GB2312" w:eastAsia="仿宋_GB2312"/>
          <w:color w:val="auto"/>
          <w:sz w:val="32"/>
          <w:szCs w:val="32"/>
        </w:rPr>
        <w:t>财政拨款支出</w:t>
      </w:r>
      <w:bookmarkEnd w:id="26"/>
      <w:r>
        <w:rPr>
          <w:rFonts w:hint="eastAsia" w:ascii="仿宋_GB2312" w:eastAsia="仿宋_GB2312"/>
          <w:color w:val="auto"/>
          <w:sz w:val="32"/>
          <w:szCs w:val="32"/>
        </w:rPr>
        <w:t>25.1万元，与上年相比，减少57.82万元，下降69.73%，减少的主要原因</w:t>
      </w:r>
      <w:r>
        <w:rPr>
          <w:rFonts w:hint="eastAsia" w:ascii="仿宋_GB2312" w:eastAsia="仿宋_GB2312"/>
          <w:color w:val="auto"/>
          <w:sz w:val="32"/>
          <w:szCs w:val="32"/>
          <w:lang w:val="en-US" w:eastAsia="zh-CN"/>
        </w:rPr>
        <w:t>是</w:t>
      </w:r>
      <w:r>
        <w:rPr>
          <w:rFonts w:ascii="仿宋_GB2312" w:eastAsia="仿宋_GB2312"/>
          <w:color w:val="auto"/>
          <w:sz w:val="32"/>
          <w:szCs w:val="32"/>
        </w:rPr>
        <w:t>项目支出净减少60万元，其项目支出减少原因是其他资本性支出减少；主要2017年已经完成了粮食产业化发展专项资金支出，2018年没有此方面的项目。</w:t>
      </w:r>
      <w:bookmarkEnd w:id="27"/>
      <w:bookmarkEnd w:id="28"/>
      <w:bookmarkStart w:id="29" w:name="OLE_LINK61"/>
      <w:r>
        <w:rPr>
          <w:rFonts w:hint="eastAsia" w:ascii="仿宋_GB2312" w:eastAsia="仿宋_GB2312"/>
          <w:color w:val="auto"/>
          <w:sz w:val="32"/>
          <w:szCs w:val="32"/>
        </w:rPr>
        <w:t>其中：</w:t>
      </w:r>
      <w:bookmarkStart w:id="30" w:name="OLE_LINK15"/>
      <w:r>
        <w:rPr>
          <w:rFonts w:hint="eastAsia" w:ascii="仿宋_GB2312" w:eastAsia="仿宋_GB2312"/>
          <w:color w:val="auto"/>
          <w:sz w:val="32"/>
          <w:szCs w:val="32"/>
        </w:rPr>
        <w:t>基本支出</w:t>
      </w:r>
      <w:bookmarkEnd w:id="30"/>
      <w:r>
        <w:rPr>
          <w:rFonts w:hint="eastAsia" w:ascii="仿宋_GB2312" w:eastAsia="仿宋_GB2312"/>
          <w:color w:val="auto"/>
          <w:sz w:val="32"/>
          <w:szCs w:val="32"/>
        </w:rPr>
        <w:t>25.1万元，项目支出0万元。</w:t>
      </w:r>
      <w:bookmarkStart w:id="31" w:name="OLE_LINK16"/>
      <w:r>
        <w:rPr>
          <w:rFonts w:hint="eastAsia" w:ascii="仿宋_GB2312" w:eastAsia="仿宋_GB2312"/>
          <w:color w:val="auto"/>
          <w:sz w:val="32"/>
          <w:szCs w:val="32"/>
        </w:rPr>
        <w:t>财政拨款结转结余</w:t>
      </w:r>
      <w:bookmarkEnd w:id="31"/>
      <w:r>
        <w:rPr>
          <w:rFonts w:hint="eastAsia" w:ascii="仿宋_GB2312" w:eastAsia="仿宋_GB2312"/>
          <w:color w:val="auto"/>
          <w:sz w:val="32"/>
          <w:szCs w:val="32"/>
        </w:rPr>
        <w:t>0万元，与上年相比无变化，主要原因</w:t>
      </w:r>
      <w:r>
        <w:rPr>
          <w:rFonts w:hint="eastAsia" w:ascii="仿宋_GB2312" w:eastAsia="仿宋_GB2312"/>
          <w:color w:val="auto"/>
          <w:sz w:val="32"/>
          <w:szCs w:val="32"/>
          <w:lang w:val="en-US" w:eastAsia="zh-CN"/>
        </w:rPr>
        <w:t>是</w:t>
      </w:r>
      <w:r>
        <w:rPr>
          <w:rFonts w:hint="eastAsia" w:ascii="仿宋_GB2312" w:eastAsia="仿宋_GB2312"/>
          <w:color w:val="auto"/>
          <w:sz w:val="32"/>
          <w:szCs w:val="32"/>
        </w:rPr>
        <w:t>人员工资调增，项目减少。</w:t>
      </w:r>
      <w:bookmarkEnd w:id="29"/>
    </w:p>
    <w:p>
      <w:pPr>
        <w:spacing w:line="540" w:lineRule="exact"/>
        <w:ind w:firstLine="640" w:firstLineChars="200"/>
        <w:rPr>
          <w:rFonts w:ascii="仿宋_GB2312" w:eastAsia="仿宋_GB2312"/>
          <w:color w:val="auto"/>
          <w:sz w:val="32"/>
          <w:szCs w:val="32"/>
        </w:rPr>
      </w:pPr>
      <w:bookmarkStart w:id="32" w:name="OLE_LINK62"/>
      <w:r>
        <w:rPr>
          <w:rFonts w:hint="eastAsia" w:ascii="仿宋_GB2312" w:eastAsia="仿宋_GB2312"/>
          <w:color w:val="auto"/>
          <w:sz w:val="32"/>
          <w:szCs w:val="32"/>
        </w:rPr>
        <w:t>与年初预算数相比情况：财政拨款收入年初预算数</w:t>
      </w:r>
      <w:r>
        <w:rPr>
          <w:rFonts w:ascii="仿宋_GB2312" w:eastAsia="仿宋_GB2312"/>
          <w:color w:val="auto"/>
          <w:sz w:val="32"/>
          <w:szCs w:val="32"/>
        </w:rPr>
        <w:t>23.61</w:t>
      </w:r>
      <w:r>
        <w:rPr>
          <w:rFonts w:hint="eastAsia" w:ascii="仿宋_GB2312" w:eastAsia="仿宋_GB2312"/>
          <w:color w:val="auto"/>
          <w:sz w:val="32"/>
          <w:szCs w:val="32"/>
        </w:rPr>
        <w:t>万元，决算数25.1万元</w:t>
      </w:r>
      <w:r>
        <w:rPr>
          <w:rFonts w:ascii="仿宋_GB2312" w:eastAsia="仿宋_GB2312"/>
          <w:color w:val="auto"/>
          <w:sz w:val="32"/>
          <w:szCs w:val="32"/>
        </w:rPr>
        <w:t>，预决算差异率6.31%，差异主要原因是本年工资调增。</w:t>
      </w:r>
      <w:bookmarkEnd w:id="32"/>
      <w:bookmarkStart w:id="33" w:name="OLE_LINK63"/>
      <w:r>
        <w:rPr>
          <w:rFonts w:hint="eastAsia" w:ascii="仿宋_GB2312" w:eastAsia="仿宋_GB2312"/>
          <w:color w:val="auto"/>
          <w:sz w:val="32"/>
          <w:szCs w:val="32"/>
        </w:rPr>
        <w:t>财政拨款支出年初预算数</w:t>
      </w:r>
      <w:r>
        <w:rPr>
          <w:rFonts w:ascii="仿宋_GB2312" w:eastAsia="仿宋_GB2312"/>
          <w:color w:val="auto"/>
          <w:sz w:val="32"/>
          <w:szCs w:val="32"/>
        </w:rPr>
        <w:t>23.61</w:t>
      </w:r>
      <w:r>
        <w:rPr>
          <w:rFonts w:hint="eastAsia" w:ascii="仿宋_GB2312" w:eastAsia="仿宋_GB2312"/>
          <w:color w:val="auto"/>
          <w:sz w:val="32"/>
          <w:szCs w:val="32"/>
        </w:rPr>
        <w:t>万元，决算数25.1万元</w:t>
      </w:r>
      <w:r>
        <w:rPr>
          <w:rFonts w:ascii="仿宋_GB2312" w:eastAsia="仿宋_GB2312"/>
          <w:color w:val="auto"/>
          <w:sz w:val="32"/>
          <w:szCs w:val="32"/>
        </w:rPr>
        <w:t>，预决算差异率6.31%，差异主要原因是本年工资调增。</w:t>
      </w:r>
      <w:bookmarkEnd w:id="33"/>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（二）一般公共预算收支决算情况说明</w:t>
      </w:r>
    </w:p>
    <w:p>
      <w:pPr>
        <w:spacing w:line="540" w:lineRule="exact"/>
        <w:ind w:firstLine="640" w:firstLineChars="200"/>
        <w:rPr>
          <w:rFonts w:ascii="仿宋_GB2312" w:eastAsia="仿宋_GB2312"/>
          <w:color w:val="auto"/>
          <w:sz w:val="32"/>
          <w:szCs w:val="32"/>
        </w:rPr>
      </w:pPr>
      <w:bookmarkStart w:id="34" w:name="OLE_LINK64"/>
      <w:r>
        <w:rPr>
          <w:rFonts w:hint="eastAsia" w:ascii="仿宋_GB2312" w:eastAsia="仿宋_GB2312"/>
          <w:color w:val="auto"/>
          <w:sz w:val="32"/>
          <w:szCs w:val="32"/>
        </w:rPr>
        <w:t>2018年度</w:t>
      </w:r>
      <w:bookmarkStart w:id="35" w:name="OLE_LINK17"/>
      <w:r>
        <w:rPr>
          <w:rFonts w:hint="eastAsia" w:ascii="仿宋_GB2312" w:eastAsia="仿宋_GB2312"/>
          <w:color w:val="auto"/>
          <w:sz w:val="32"/>
          <w:szCs w:val="32"/>
        </w:rPr>
        <w:t>一般公共预算财政拨款收入</w:t>
      </w:r>
      <w:bookmarkEnd w:id="35"/>
      <w:r>
        <w:rPr>
          <w:rFonts w:ascii="仿宋_GB2312" w:eastAsia="仿宋_GB2312"/>
          <w:color w:val="auto"/>
          <w:sz w:val="32"/>
          <w:szCs w:val="32"/>
        </w:rPr>
        <w:t>25.1</w:t>
      </w:r>
      <w:r>
        <w:rPr>
          <w:rFonts w:hint="eastAsia" w:ascii="仿宋_GB2312" w:eastAsia="仿宋_GB2312"/>
          <w:color w:val="auto"/>
          <w:sz w:val="32"/>
          <w:szCs w:val="32"/>
        </w:rPr>
        <w:t>万元</w:t>
      </w:r>
      <w:r>
        <w:rPr>
          <w:rFonts w:ascii="仿宋_GB2312" w:eastAsia="仿宋_GB2312"/>
          <w:color w:val="auto"/>
          <w:sz w:val="32"/>
          <w:szCs w:val="32"/>
        </w:rPr>
        <w:t>，与上年相比，减少57.82万元，下降69.73%，减少的主要原因是：基本收入增加2.18万元，主要原因是人员工资调增，项目收入净减少60万元，其项目收入减少原因是其他资本性支出减少；主要2017年已经完成了粮食产业化发展专项资金，2018年没有此方面的项目。</w:t>
      </w:r>
      <w:bookmarkEnd w:id="34"/>
      <w:bookmarkStart w:id="36" w:name="OLE_LINK18"/>
      <w:bookmarkStart w:id="37" w:name="OLE_LINK65"/>
      <w:r>
        <w:rPr>
          <w:rFonts w:hint="eastAsia" w:ascii="仿宋_GB2312" w:eastAsia="仿宋_GB2312"/>
          <w:color w:val="auto"/>
          <w:sz w:val="32"/>
          <w:szCs w:val="32"/>
        </w:rPr>
        <w:t>一般公共预算财政拨款支出</w:t>
      </w:r>
      <w:r>
        <w:rPr>
          <w:rFonts w:hint="eastAsia" w:ascii="仿宋_GB2312" w:eastAsia="仿宋_GB2312"/>
          <w:color w:val="auto"/>
          <w:sz w:val="32"/>
          <w:szCs w:val="32"/>
        </w:rPr>
        <w:t>25.1</w:t>
      </w:r>
      <w:r>
        <w:rPr>
          <w:rFonts w:hint="eastAsia" w:ascii="仿宋_GB2312" w:eastAsia="仿宋_GB2312"/>
          <w:color w:val="auto"/>
          <w:sz w:val="32"/>
          <w:szCs w:val="32"/>
        </w:rPr>
        <w:t>万元</w:t>
      </w:r>
      <w:bookmarkEnd w:id="36"/>
      <w:r>
        <w:rPr>
          <w:rFonts w:hint="eastAsia" w:ascii="仿宋_GB2312" w:eastAsia="仿宋_GB2312"/>
          <w:color w:val="auto"/>
          <w:sz w:val="32"/>
          <w:szCs w:val="32"/>
        </w:rPr>
        <w:t>，与上年相比，减少57.82万元，下降69.73%，减少的主要原因是：人员工资调增，项目支出净减少60万元，其项目支出减少原因是其他资本性支出减少；主要2017年已经完成了粮食产业化，发展专项资金支出，2018年没有此方面的项目。</w:t>
      </w:r>
      <w:bookmarkEnd w:id="37"/>
      <w:r>
        <w:rPr>
          <w:rFonts w:hint="eastAsia" w:ascii="仿宋_GB2312" w:eastAsia="仿宋_GB2312"/>
          <w:color w:val="auto"/>
          <w:sz w:val="32"/>
          <w:szCs w:val="32"/>
        </w:rPr>
        <w:t>其中：</w:t>
      </w:r>
      <w:bookmarkStart w:id="38" w:name="OLE_LINK19"/>
      <w:r>
        <w:rPr>
          <w:rFonts w:hint="eastAsia" w:ascii="仿宋_GB2312" w:eastAsia="仿宋_GB2312"/>
          <w:color w:val="auto"/>
          <w:sz w:val="32"/>
          <w:szCs w:val="32"/>
        </w:rPr>
        <w:t>按功能分类科目（按类级科目公开）</w:t>
      </w:r>
      <w:bookmarkEnd w:id="38"/>
      <w:r>
        <w:rPr>
          <w:rFonts w:hint="eastAsia" w:ascii="仿宋_GB2312" w:eastAsia="仿宋_GB2312"/>
          <w:color w:val="auto"/>
          <w:sz w:val="32"/>
          <w:szCs w:val="32"/>
        </w:rPr>
        <w:t>，</w:t>
      </w:r>
      <w:r>
        <w:rPr>
          <w:rFonts w:hint="eastAsia" w:ascii="仿宋_GB2312" w:eastAsia="仿宋_GB2312"/>
          <w:color w:val="auto"/>
          <w:sz w:val="32"/>
          <w:szCs w:val="32"/>
        </w:rPr>
        <w:t>住房保障支出1.06万元,一般公共服务支出22.38万元,社会保障和就业支出1.66万元。</w:t>
      </w:r>
      <w:bookmarkStart w:id="39" w:name="OLE_LINK20"/>
      <w:bookmarkStart w:id="40" w:name="OLE_LINK21"/>
      <w:r>
        <w:rPr>
          <w:rFonts w:hint="eastAsia" w:ascii="仿宋_GB2312" w:eastAsia="仿宋_GB2312"/>
          <w:color w:val="auto"/>
          <w:sz w:val="32"/>
          <w:szCs w:val="32"/>
        </w:rPr>
        <w:t>按经济分类科目</w:t>
      </w:r>
      <w:bookmarkEnd w:id="39"/>
      <w:r>
        <w:rPr>
          <w:rFonts w:hint="eastAsia" w:ascii="仿宋_GB2312" w:eastAsia="仿宋_GB2312"/>
          <w:color w:val="auto"/>
          <w:sz w:val="32"/>
          <w:szCs w:val="32"/>
        </w:rPr>
        <w:t>（按类级科目公开）</w:t>
      </w:r>
      <w:bookmarkEnd w:id="40"/>
      <w:r>
        <w:rPr>
          <w:rFonts w:hint="eastAsia" w:ascii="仿宋_GB2312" w:eastAsia="仿宋_GB2312"/>
          <w:color w:val="auto"/>
          <w:sz w:val="32"/>
          <w:szCs w:val="32"/>
        </w:rPr>
        <w:t>，</w:t>
      </w:r>
      <w:r>
        <w:rPr>
          <w:rFonts w:hint="eastAsia" w:ascii="仿宋_GB2312" w:eastAsia="仿宋_GB2312"/>
          <w:color w:val="auto"/>
          <w:sz w:val="32"/>
          <w:szCs w:val="32"/>
        </w:rPr>
        <w:t>工资福利支出14.71万元,商品和服务支出2.52万元,对个人和家庭的补助7.87万元。</w:t>
      </w:r>
    </w:p>
    <w:p>
      <w:pPr>
        <w:spacing w:line="540" w:lineRule="exact"/>
        <w:ind w:firstLine="640" w:firstLineChars="200"/>
        <w:rPr>
          <w:rFonts w:ascii="仿宋_GB2312" w:eastAsia="仿宋_GB2312"/>
          <w:color w:val="auto"/>
          <w:sz w:val="32"/>
          <w:szCs w:val="32"/>
        </w:rPr>
      </w:pPr>
      <w:bookmarkStart w:id="41" w:name="OLE_LINK66"/>
      <w:bookmarkStart w:id="42" w:name="OLE_LINK67"/>
      <w:r>
        <w:rPr>
          <w:rFonts w:hint="eastAsia" w:ascii="仿宋_GB2312" w:eastAsia="仿宋_GB2312"/>
          <w:color w:val="auto"/>
          <w:sz w:val="32"/>
          <w:szCs w:val="32"/>
        </w:rPr>
        <w:t>与年初预算数相比情况：一般公共预算财政拨款收入年初预算数</w:t>
      </w:r>
      <w:r>
        <w:rPr>
          <w:rFonts w:ascii="仿宋_GB2312" w:eastAsia="仿宋_GB2312"/>
          <w:color w:val="auto"/>
          <w:sz w:val="32"/>
          <w:szCs w:val="32"/>
        </w:rPr>
        <w:t>23.61</w:t>
      </w:r>
      <w:r>
        <w:rPr>
          <w:rFonts w:hint="eastAsia" w:ascii="仿宋_GB2312" w:eastAsia="仿宋_GB2312"/>
          <w:color w:val="auto"/>
          <w:sz w:val="32"/>
          <w:szCs w:val="32"/>
        </w:rPr>
        <w:t>万元，决算数</w:t>
      </w:r>
      <w:r>
        <w:rPr>
          <w:rFonts w:ascii="仿宋_GB2312" w:eastAsia="仿宋_GB2312"/>
          <w:color w:val="auto"/>
          <w:sz w:val="32"/>
          <w:szCs w:val="32"/>
        </w:rPr>
        <w:t>25.1</w:t>
      </w:r>
      <w:r>
        <w:rPr>
          <w:rFonts w:hint="eastAsia" w:ascii="仿宋_GB2312" w:eastAsia="仿宋_GB2312"/>
          <w:color w:val="auto"/>
          <w:sz w:val="32"/>
          <w:szCs w:val="32"/>
        </w:rPr>
        <w:t>万元</w:t>
      </w:r>
      <w:r>
        <w:rPr>
          <w:rFonts w:ascii="仿宋_GB2312" w:eastAsia="仿宋_GB2312"/>
          <w:color w:val="auto"/>
          <w:sz w:val="32"/>
          <w:szCs w:val="32"/>
        </w:rPr>
        <w:t>，预决算差异率6.31%，差异主要原因是本年工资调增。</w:t>
      </w:r>
      <w:bookmarkEnd w:id="41"/>
      <w:bookmarkEnd w:id="42"/>
      <w:bookmarkStart w:id="43" w:name="OLE_LINK68"/>
      <w:r>
        <w:rPr>
          <w:rFonts w:hint="eastAsia" w:ascii="仿宋_GB2312" w:eastAsia="仿宋_GB2312"/>
          <w:color w:val="auto"/>
          <w:sz w:val="32"/>
          <w:szCs w:val="32"/>
        </w:rPr>
        <w:t>一般公共预算财政拨款支出年初预算数</w:t>
      </w:r>
      <w:r>
        <w:rPr>
          <w:rFonts w:ascii="仿宋_GB2312" w:eastAsia="仿宋_GB2312"/>
          <w:color w:val="auto"/>
          <w:sz w:val="32"/>
          <w:szCs w:val="32"/>
        </w:rPr>
        <w:t>23.61</w:t>
      </w:r>
      <w:r>
        <w:rPr>
          <w:rFonts w:hint="eastAsia" w:ascii="仿宋_GB2312" w:eastAsia="仿宋_GB2312"/>
          <w:color w:val="auto"/>
          <w:sz w:val="32"/>
          <w:szCs w:val="32"/>
        </w:rPr>
        <w:t>万元，决算数</w:t>
      </w:r>
      <w:r>
        <w:rPr>
          <w:rFonts w:ascii="仿宋_GB2312" w:eastAsia="仿宋_GB2312"/>
          <w:color w:val="auto"/>
          <w:sz w:val="32"/>
          <w:szCs w:val="32"/>
        </w:rPr>
        <w:t>25.1</w:t>
      </w:r>
      <w:r>
        <w:rPr>
          <w:rFonts w:hint="eastAsia" w:ascii="仿宋_GB2312" w:eastAsia="仿宋_GB2312"/>
          <w:color w:val="auto"/>
          <w:sz w:val="32"/>
          <w:szCs w:val="32"/>
        </w:rPr>
        <w:t>万元</w:t>
      </w:r>
      <w:r>
        <w:rPr>
          <w:rFonts w:ascii="仿宋_GB2312" w:eastAsia="仿宋_GB2312"/>
          <w:color w:val="auto"/>
          <w:sz w:val="32"/>
          <w:szCs w:val="32"/>
        </w:rPr>
        <w:t>，预决算差异率6.31%，差异主要原因是本年工资调增。</w:t>
      </w:r>
      <w:bookmarkEnd w:id="43"/>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（三）政府性基金预算收支决算情况说明</w:t>
      </w:r>
    </w:p>
    <w:p>
      <w:pPr>
        <w:spacing w:line="540" w:lineRule="exact"/>
        <w:ind w:firstLine="640" w:firstLineChars="200"/>
        <w:rPr>
          <w:rFonts w:ascii="仿宋_GB2312" w:eastAsia="仿宋_GB2312"/>
          <w:color w:val="auto"/>
          <w:sz w:val="32"/>
          <w:szCs w:val="32"/>
        </w:rPr>
      </w:pPr>
      <w:bookmarkStart w:id="44" w:name="OLE_LINK69"/>
      <w:r>
        <w:rPr>
          <w:rFonts w:hint="eastAsia" w:ascii="仿宋_GB2312" w:eastAsia="仿宋_GB2312"/>
          <w:color w:val="auto"/>
          <w:sz w:val="32"/>
          <w:szCs w:val="32"/>
        </w:rPr>
        <w:t>2018年度</w:t>
      </w:r>
      <w:bookmarkStart w:id="45" w:name="OLE_LINK22"/>
      <w:r>
        <w:rPr>
          <w:rFonts w:hint="eastAsia" w:ascii="仿宋_GB2312" w:eastAsia="仿宋_GB2312"/>
          <w:color w:val="auto"/>
          <w:sz w:val="32"/>
          <w:szCs w:val="32"/>
        </w:rPr>
        <w:t>政府性基金预算财政拨款收入</w:t>
      </w:r>
      <w:bookmarkEnd w:id="45"/>
      <w:r>
        <w:rPr>
          <w:rFonts w:hint="eastAsia" w:ascii="仿宋_GB2312" w:eastAsia="仿宋_GB2312"/>
          <w:color w:val="auto"/>
          <w:sz w:val="32"/>
          <w:szCs w:val="32"/>
        </w:rPr>
        <w:t>0</w:t>
      </w:r>
      <w:r>
        <w:rPr>
          <w:rFonts w:hint="eastAsia" w:ascii="仿宋_GB2312" w:eastAsia="仿宋_GB2312"/>
          <w:color w:val="auto"/>
          <w:sz w:val="32"/>
          <w:szCs w:val="32"/>
        </w:rPr>
        <w:t>万元</w:t>
      </w:r>
      <w:r>
        <w:rPr>
          <w:rFonts w:hint="eastAsia" w:ascii="仿宋_GB2312" w:eastAsia="仿宋_GB2312"/>
          <w:color w:val="auto"/>
          <w:sz w:val="32"/>
          <w:szCs w:val="32"/>
        </w:rPr>
        <w:t>，与上年相比无变化，主要原因是：本单位无此项预算安排。</w:t>
      </w:r>
      <w:bookmarkEnd w:id="44"/>
      <w:bookmarkStart w:id="46" w:name="OLE_LINK23"/>
      <w:bookmarkStart w:id="47" w:name="OLE_LINK70"/>
      <w:r>
        <w:rPr>
          <w:rFonts w:hint="eastAsia" w:ascii="仿宋_GB2312" w:eastAsia="仿宋_GB2312"/>
          <w:color w:val="auto"/>
          <w:sz w:val="32"/>
          <w:szCs w:val="32"/>
        </w:rPr>
        <w:t>政府性基金预算支出</w:t>
      </w:r>
      <w:bookmarkEnd w:id="46"/>
      <w:r>
        <w:rPr>
          <w:rFonts w:hint="eastAsia" w:ascii="仿宋_GB2312" w:eastAsia="仿宋_GB2312"/>
          <w:color w:val="auto"/>
          <w:sz w:val="32"/>
          <w:szCs w:val="32"/>
        </w:rPr>
        <w:t>0</w:t>
      </w:r>
      <w:r>
        <w:rPr>
          <w:rFonts w:hint="eastAsia" w:ascii="仿宋_GB2312" w:eastAsia="仿宋_GB2312"/>
          <w:color w:val="auto"/>
          <w:sz w:val="32"/>
          <w:szCs w:val="32"/>
        </w:rPr>
        <w:t>万元</w:t>
      </w:r>
      <w:r>
        <w:rPr>
          <w:rFonts w:hint="eastAsia" w:ascii="仿宋_GB2312" w:eastAsia="仿宋_GB2312"/>
          <w:color w:val="auto"/>
          <w:sz w:val="32"/>
          <w:szCs w:val="32"/>
        </w:rPr>
        <w:t>，与上年相比无变化，主要原因是：本单位无此项预算安排。</w:t>
      </w:r>
      <w:bookmarkEnd w:id="47"/>
      <w:r>
        <w:rPr>
          <w:rFonts w:hint="eastAsia" w:ascii="仿宋_GB2312" w:eastAsia="仿宋_GB2312"/>
          <w:color w:val="auto"/>
          <w:sz w:val="32"/>
          <w:szCs w:val="32"/>
        </w:rPr>
        <w:t>其中：</w:t>
      </w:r>
      <w:bookmarkStart w:id="48" w:name="OLE_LINK24"/>
      <w:r>
        <w:rPr>
          <w:rFonts w:hint="eastAsia" w:ascii="仿宋_GB2312" w:eastAsia="仿宋_GB2312"/>
          <w:color w:val="auto"/>
          <w:sz w:val="32"/>
          <w:szCs w:val="32"/>
        </w:rPr>
        <w:t>按功能分类科目（按类级科目公开）</w:t>
      </w:r>
      <w:bookmarkEnd w:id="48"/>
      <w:r>
        <w:rPr>
          <w:rFonts w:hint="eastAsia" w:ascii="仿宋_GB2312" w:eastAsia="仿宋_GB2312"/>
          <w:color w:val="auto"/>
          <w:sz w:val="32"/>
          <w:szCs w:val="32"/>
        </w:rPr>
        <w:t>，无。按经济分类科目（按类级科目公开），无。</w:t>
      </w:r>
    </w:p>
    <w:p>
      <w:pPr>
        <w:spacing w:line="540" w:lineRule="exact"/>
        <w:ind w:firstLine="640" w:firstLineChars="200"/>
        <w:rPr>
          <w:rFonts w:ascii="仿宋_GB2312" w:eastAsia="仿宋_GB2312"/>
          <w:color w:val="auto"/>
          <w:sz w:val="32"/>
          <w:szCs w:val="32"/>
        </w:rPr>
      </w:pPr>
      <w:bookmarkStart w:id="49" w:name="OLE_LINK71"/>
      <w:bookmarkStart w:id="50" w:name="OLE_LINK72"/>
      <w:r>
        <w:rPr>
          <w:rFonts w:hint="eastAsia" w:ascii="仿宋_GB2312" w:eastAsia="仿宋_GB2312"/>
          <w:color w:val="auto"/>
          <w:sz w:val="32"/>
          <w:szCs w:val="32"/>
        </w:rPr>
        <w:t>与年初预算数相比情况：政府性基金预算财政拨款收入年初预算数0万元，决算数</w:t>
      </w:r>
      <w:r>
        <w:rPr>
          <w:rFonts w:ascii="仿宋_GB2312" w:eastAsia="仿宋_GB2312"/>
          <w:color w:val="auto"/>
          <w:sz w:val="32"/>
          <w:szCs w:val="32"/>
        </w:rPr>
        <w:t>0</w:t>
      </w:r>
      <w:r>
        <w:rPr>
          <w:rFonts w:hint="eastAsia" w:ascii="仿宋_GB2312" w:eastAsia="仿宋_GB2312"/>
          <w:color w:val="auto"/>
          <w:sz w:val="32"/>
          <w:szCs w:val="32"/>
        </w:rPr>
        <w:t>万元</w:t>
      </w:r>
      <w:r>
        <w:rPr>
          <w:rFonts w:ascii="仿宋_GB2312" w:eastAsia="仿宋_GB2312"/>
          <w:color w:val="auto"/>
          <w:sz w:val="32"/>
          <w:szCs w:val="32"/>
        </w:rPr>
        <w:t>，预决算差异率0%，差异主要原因是本单位无此项预算安排。</w:t>
      </w:r>
      <w:bookmarkEnd w:id="49"/>
      <w:bookmarkEnd w:id="50"/>
      <w:bookmarkStart w:id="51" w:name="OLE_LINK73"/>
      <w:r>
        <w:rPr>
          <w:rFonts w:hint="eastAsia" w:ascii="仿宋_GB2312" w:eastAsia="仿宋_GB2312"/>
          <w:color w:val="auto"/>
          <w:sz w:val="32"/>
          <w:szCs w:val="32"/>
        </w:rPr>
        <w:t>政府性基金预算财政拨款支出年初预算数0万元，决算数</w:t>
      </w:r>
      <w:r>
        <w:rPr>
          <w:rFonts w:ascii="仿宋_GB2312" w:eastAsia="仿宋_GB2312"/>
          <w:color w:val="auto"/>
          <w:sz w:val="32"/>
          <w:szCs w:val="32"/>
        </w:rPr>
        <w:t>0</w:t>
      </w:r>
      <w:r>
        <w:rPr>
          <w:rFonts w:hint="eastAsia" w:ascii="仿宋_GB2312" w:eastAsia="仿宋_GB2312"/>
          <w:color w:val="auto"/>
          <w:sz w:val="32"/>
          <w:szCs w:val="32"/>
        </w:rPr>
        <w:t>万元</w:t>
      </w:r>
      <w:r>
        <w:rPr>
          <w:rFonts w:ascii="仿宋_GB2312" w:eastAsia="仿宋_GB2312"/>
          <w:color w:val="auto"/>
          <w:sz w:val="32"/>
          <w:szCs w:val="32"/>
        </w:rPr>
        <w:t>，预决算差异率0%，差异主要原因是本单位无此项预算安排。</w:t>
      </w:r>
      <w:bookmarkEnd w:id="51"/>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三、部门结转结余情况</w:t>
      </w:r>
    </w:p>
    <w:p>
      <w:pPr>
        <w:spacing w:line="540" w:lineRule="exact"/>
        <w:ind w:firstLine="640" w:firstLineChars="200"/>
        <w:rPr>
          <w:rFonts w:ascii="仿宋_GB2312" w:eastAsia="仿宋_GB2312"/>
          <w:color w:val="auto"/>
          <w:sz w:val="32"/>
          <w:szCs w:val="32"/>
        </w:rPr>
      </w:pPr>
      <w:bookmarkStart w:id="52" w:name="OLE_LINK25"/>
      <w:bookmarkStart w:id="53" w:name="OLE_LINK26"/>
      <w:r>
        <w:rPr>
          <w:rFonts w:hint="eastAsia" w:ascii="仿宋_GB2312" w:eastAsia="仿宋_GB2312"/>
          <w:color w:val="auto"/>
          <w:sz w:val="32"/>
          <w:szCs w:val="32"/>
        </w:rPr>
        <w:t>年末结转结余</w:t>
      </w:r>
      <w:bookmarkEnd w:id="52"/>
      <w:bookmarkEnd w:id="53"/>
      <w:r>
        <w:rPr>
          <w:rFonts w:hint="eastAsia" w:ascii="仿宋_GB2312" w:eastAsia="仿宋_GB2312"/>
          <w:color w:val="auto"/>
          <w:sz w:val="32"/>
          <w:szCs w:val="32"/>
        </w:rPr>
        <w:t>0</w:t>
      </w:r>
      <w:r>
        <w:rPr>
          <w:rFonts w:hint="eastAsia" w:ascii="仿宋_GB2312" w:eastAsia="仿宋_GB2312"/>
          <w:color w:val="auto"/>
          <w:sz w:val="32"/>
          <w:szCs w:val="32"/>
        </w:rPr>
        <w:t>万元</w:t>
      </w:r>
      <w:r>
        <w:rPr>
          <w:rFonts w:hint="eastAsia" w:ascii="仿宋_GB2312" w:eastAsia="仿宋_GB2312"/>
          <w:color w:val="auto"/>
          <w:sz w:val="32"/>
          <w:szCs w:val="32"/>
        </w:rPr>
        <w:t>。与上年相比，无变化</w:t>
      </w:r>
      <w:r>
        <w:rPr>
          <w:rFonts w:hint="eastAsia" w:ascii="仿宋_GB2312" w:eastAsia="仿宋_GB2312"/>
          <w:color w:val="auto"/>
          <w:sz w:val="32"/>
          <w:szCs w:val="32"/>
        </w:rPr>
        <w:t>。</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其中</w:t>
      </w:r>
      <w:bookmarkStart w:id="54" w:name="OLE_LINK27"/>
      <w:bookmarkStart w:id="55" w:name="OLE_LINK28"/>
      <w:r>
        <w:rPr>
          <w:rFonts w:hint="eastAsia" w:ascii="仿宋_GB2312" w:eastAsia="仿宋_GB2312"/>
          <w:color w:val="auto"/>
          <w:sz w:val="32"/>
          <w:szCs w:val="32"/>
        </w:rPr>
        <w:t>财政拨款结转结余</w:t>
      </w:r>
      <w:bookmarkEnd w:id="54"/>
      <w:bookmarkEnd w:id="55"/>
      <w:r>
        <w:rPr>
          <w:rFonts w:hint="eastAsia" w:ascii="仿宋_GB2312" w:eastAsia="仿宋_GB2312"/>
          <w:color w:val="auto"/>
          <w:sz w:val="32"/>
          <w:szCs w:val="32"/>
        </w:rPr>
        <w:t>0</w:t>
      </w:r>
      <w:r>
        <w:rPr>
          <w:rFonts w:hint="eastAsia" w:ascii="仿宋_GB2312" w:eastAsia="仿宋_GB2312"/>
          <w:color w:val="auto"/>
          <w:sz w:val="32"/>
          <w:szCs w:val="32"/>
        </w:rPr>
        <w:t>万元</w:t>
      </w:r>
      <w:r>
        <w:rPr>
          <w:rFonts w:hint="eastAsia" w:ascii="仿宋_GB2312" w:eastAsia="仿宋_GB2312"/>
          <w:color w:val="auto"/>
          <w:sz w:val="32"/>
          <w:szCs w:val="32"/>
        </w:rPr>
        <w:t>。与上年相比，无变化。</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四、一般公共预算“三公”经费支出情况</w:t>
      </w:r>
    </w:p>
    <w:p>
      <w:pPr>
        <w:spacing w:line="540" w:lineRule="exact"/>
        <w:ind w:firstLine="640" w:firstLineChars="200"/>
        <w:rPr>
          <w:rFonts w:ascii="仿宋_GB2312" w:eastAsia="仿宋_GB2312"/>
          <w:color w:val="auto"/>
          <w:sz w:val="32"/>
          <w:szCs w:val="32"/>
        </w:rPr>
      </w:pPr>
      <w:bookmarkStart w:id="56" w:name="OLE_LINK74"/>
      <w:r>
        <w:rPr>
          <w:rFonts w:hint="eastAsia" w:ascii="仿宋_GB2312" w:eastAsia="仿宋_GB2312"/>
          <w:color w:val="auto"/>
          <w:sz w:val="32"/>
          <w:szCs w:val="32"/>
        </w:rPr>
        <w:t>2018年度</w:t>
      </w:r>
      <w:bookmarkStart w:id="57" w:name="OLE_LINK29"/>
      <w:r>
        <w:rPr>
          <w:rFonts w:hint="eastAsia" w:ascii="仿宋_GB2312" w:eastAsia="仿宋_GB2312"/>
          <w:color w:val="auto"/>
          <w:sz w:val="32"/>
          <w:szCs w:val="32"/>
        </w:rPr>
        <w:t>一般公共预算“三公”经费支出决算</w:t>
      </w:r>
      <w:bookmarkEnd w:id="57"/>
      <w:r>
        <w:rPr>
          <w:rFonts w:hint="eastAsia" w:ascii="仿宋_GB2312" w:eastAsia="仿宋_GB2312"/>
          <w:color w:val="auto"/>
          <w:sz w:val="32"/>
          <w:szCs w:val="32"/>
        </w:rPr>
        <w:t>0.75</w:t>
      </w:r>
      <w:r>
        <w:rPr>
          <w:rFonts w:hint="eastAsia" w:ascii="仿宋_GB2312" w:eastAsia="仿宋_GB2312"/>
          <w:color w:val="auto"/>
          <w:sz w:val="32"/>
          <w:szCs w:val="32"/>
        </w:rPr>
        <w:t>万元</w:t>
      </w:r>
      <w:r>
        <w:rPr>
          <w:rFonts w:hint="eastAsia" w:ascii="仿宋_GB2312" w:eastAsia="仿宋_GB2312"/>
          <w:color w:val="auto"/>
          <w:sz w:val="32"/>
          <w:szCs w:val="32"/>
        </w:rPr>
        <w:t>，</w:t>
      </w:r>
      <w:r>
        <w:rPr>
          <w:rFonts w:hint="eastAsia" w:ascii="仿宋_GB2312" w:eastAsia="仿宋_GB2312"/>
          <w:color w:val="auto"/>
          <w:sz w:val="32"/>
          <w:szCs w:val="32"/>
          <w:lang w:eastAsia="zh-CN"/>
        </w:rPr>
        <w:t>比</w:t>
      </w:r>
      <w:r>
        <w:rPr>
          <w:rFonts w:hint="eastAsia" w:ascii="仿宋_GB2312" w:eastAsia="仿宋_GB2312"/>
          <w:color w:val="auto"/>
          <w:sz w:val="32"/>
          <w:szCs w:val="32"/>
        </w:rPr>
        <w:t>上年减少0.38万元，</w:t>
      </w:r>
      <w:r>
        <w:rPr>
          <w:rFonts w:hint="eastAsia" w:ascii="仿宋_GB2312" w:eastAsia="仿宋_GB2312"/>
          <w:color w:val="auto"/>
          <w:sz w:val="32"/>
          <w:szCs w:val="32"/>
          <w:lang w:eastAsia="zh-CN"/>
        </w:rPr>
        <w:t>降低</w:t>
      </w:r>
      <w:r>
        <w:rPr>
          <w:rFonts w:hint="eastAsia" w:ascii="仿宋_GB2312" w:eastAsia="仿宋_GB2312"/>
          <w:color w:val="auto"/>
          <w:sz w:val="32"/>
          <w:szCs w:val="32"/>
        </w:rPr>
        <w:t>33.63%，减少原因是严格执行“三公”经费只减不增的要求。</w:t>
      </w:r>
      <w:bookmarkEnd w:id="56"/>
      <w:bookmarkStart w:id="58" w:name="OLE_LINK75"/>
      <w:r>
        <w:rPr>
          <w:rFonts w:hint="eastAsia" w:ascii="仿宋_GB2312" w:eastAsia="仿宋_GB2312"/>
          <w:color w:val="auto"/>
          <w:sz w:val="32"/>
          <w:szCs w:val="32"/>
        </w:rPr>
        <w:t>其中，</w:t>
      </w:r>
      <w:bookmarkStart w:id="59" w:name="OLE_LINK30"/>
      <w:r>
        <w:rPr>
          <w:rFonts w:hint="eastAsia" w:ascii="仿宋_GB2312" w:eastAsia="仿宋_GB2312"/>
          <w:color w:val="auto"/>
          <w:sz w:val="32"/>
          <w:szCs w:val="32"/>
        </w:rPr>
        <w:t>因公出国（境）费支出</w:t>
      </w:r>
      <w:bookmarkEnd w:id="59"/>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lang w:eastAsia="zh-CN"/>
        </w:rPr>
        <w:t>比</w:t>
      </w:r>
      <w:r>
        <w:rPr>
          <w:rFonts w:hint="eastAsia" w:ascii="仿宋_GB2312" w:eastAsia="仿宋_GB2312"/>
          <w:color w:val="auto"/>
          <w:sz w:val="32"/>
          <w:szCs w:val="32"/>
        </w:rPr>
        <w:t>上年</w:t>
      </w:r>
      <w:r>
        <w:rPr>
          <w:rFonts w:hint="eastAsia" w:ascii="仿宋_GB2312" w:eastAsia="仿宋_GB2312"/>
          <w:color w:val="auto"/>
          <w:sz w:val="32"/>
          <w:szCs w:val="32"/>
          <w:lang w:eastAsia="zh-CN"/>
        </w:rPr>
        <w:t>增加</w:t>
      </w:r>
      <w:r>
        <w:rPr>
          <w:rFonts w:hint="eastAsia" w:ascii="仿宋_GB2312" w:eastAsia="仿宋_GB2312"/>
          <w:color w:val="auto"/>
          <w:sz w:val="32"/>
          <w:szCs w:val="32"/>
          <w:lang w:val="en-US" w:eastAsia="zh-CN"/>
        </w:rPr>
        <w:t>0万元</w:t>
      </w:r>
      <w:r>
        <w:rPr>
          <w:rFonts w:hint="eastAsia" w:ascii="仿宋_GB2312" w:eastAsia="仿宋_GB2312"/>
          <w:color w:val="auto"/>
          <w:sz w:val="32"/>
          <w:szCs w:val="32"/>
        </w:rPr>
        <w:t>，</w:t>
      </w:r>
      <w:r>
        <w:rPr>
          <w:rFonts w:hint="eastAsia" w:ascii="仿宋_GB2312" w:eastAsia="仿宋_GB2312"/>
          <w:color w:val="auto"/>
          <w:sz w:val="32"/>
          <w:szCs w:val="32"/>
          <w:lang w:eastAsia="zh-CN"/>
        </w:rPr>
        <w:t>增长</w:t>
      </w:r>
      <w:r>
        <w:rPr>
          <w:rFonts w:hint="eastAsia" w:ascii="仿宋_GB2312" w:eastAsia="仿宋_GB2312"/>
          <w:color w:val="auto"/>
          <w:sz w:val="32"/>
          <w:szCs w:val="32"/>
          <w:lang w:val="en-US" w:eastAsia="zh-CN"/>
        </w:rPr>
        <w:t>0%，</w:t>
      </w:r>
      <w:r>
        <w:rPr>
          <w:rFonts w:hint="eastAsia" w:ascii="仿宋_GB2312" w:eastAsia="仿宋_GB2312"/>
          <w:color w:val="auto"/>
          <w:sz w:val="32"/>
          <w:szCs w:val="32"/>
          <w:lang w:eastAsia="zh-CN"/>
        </w:rPr>
        <w:t>增加</w:t>
      </w:r>
      <w:r>
        <w:rPr>
          <w:rFonts w:hint="eastAsia" w:ascii="仿宋_GB2312" w:eastAsia="仿宋_GB2312"/>
          <w:color w:val="auto"/>
          <w:sz w:val="32"/>
          <w:szCs w:val="32"/>
        </w:rPr>
        <w:t>原因是本单位无此项预算安排；</w:t>
      </w:r>
      <w:bookmarkEnd w:id="58"/>
      <w:bookmarkStart w:id="60" w:name="OLE_LINK31"/>
      <w:bookmarkStart w:id="61" w:name="OLE_LINK76"/>
      <w:r>
        <w:rPr>
          <w:rFonts w:hint="eastAsia" w:ascii="仿宋_GB2312" w:eastAsia="仿宋_GB2312"/>
          <w:color w:val="auto"/>
          <w:sz w:val="32"/>
          <w:szCs w:val="32"/>
        </w:rPr>
        <w:t>公务用车购置及运行维护费支出</w:t>
      </w:r>
      <w:bookmarkEnd w:id="60"/>
      <w:r>
        <w:rPr>
          <w:rFonts w:hint="eastAsia" w:ascii="仿宋_GB2312" w:eastAsia="仿宋_GB2312"/>
          <w:color w:val="auto"/>
          <w:sz w:val="32"/>
          <w:szCs w:val="32"/>
        </w:rPr>
        <w:t>0.75</w:t>
      </w:r>
      <w:r>
        <w:rPr>
          <w:rFonts w:hint="eastAsia" w:ascii="仿宋_GB2312" w:eastAsia="仿宋_GB2312"/>
          <w:color w:val="auto"/>
          <w:sz w:val="32"/>
          <w:szCs w:val="32"/>
        </w:rPr>
        <w:t>万元，占</w:t>
      </w:r>
      <w:r>
        <w:rPr>
          <w:rFonts w:hint="eastAsia" w:ascii="仿宋_GB2312" w:eastAsia="仿宋_GB2312"/>
          <w:color w:val="auto"/>
          <w:sz w:val="32"/>
          <w:szCs w:val="32"/>
        </w:rPr>
        <w:t>100%，</w:t>
      </w:r>
      <w:r>
        <w:rPr>
          <w:rFonts w:hint="eastAsia" w:ascii="仿宋_GB2312" w:eastAsia="仿宋_GB2312"/>
          <w:color w:val="auto"/>
          <w:sz w:val="32"/>
          <w:szCs w:val="32"/>
          <w:lang w:eastAsia="zh-CN"/>
        </w:rPr>
        <w:t>比上</w:t>
      </w:r>
      <w:r>
        <w:rPr>
          <w:rFonts w:hint="eastAsia" w:ascii="仿宋_GB2312" w:eastAsia="仿宋_GB2312"/>
          <w:color w:val="auto"/>
          <w:sz w:val="32"/>
          <w:szCs w:val="32"/>
        </w:rPr>
        <w:t>年减少0.38万元，</w:t>
      </w:r>
      <w:r>
        <w:rPr>
          <w:rFonts w:hint="eastAsia" w:ascii="仿宋_GB2312" w:eastAsia="仿宋_GB2312"/>
          <w:color w:val="auto"/>
          <w:sz w:val="32"/>
          <w:szCs w:val="32"/>
          <w:lang w:eastAsia="zh-CN"/>
        </w:rPr>
        <w:t>降低</w:t>
      </w:r>
      <w:r>
        <w:rPr>
          <w:rFonts w:hint="eastAsia" w:ascii="仿宋_GB2312" w:eastAsia="仿宋_GB2312"/>
          <w:color w:val="auto"/>
          <w:sz w:val="32"/>
          <w:szCs w:val="32"/>
        </w:rPr>
        <w:t>33.63%，减少原因是公务用车运行维护费有所压缩；</w:t>
      </w:r>
      <w:bookmarkEnd w:id="61"/>
      <w:bookmarkStart w:id="62" w:name="OLE_LINK32"/>
      <w:bookmarkStart w:id="63" w:name="OLE_LINK78"/>
      <w:bookmarkStart w:id="64" w:name="OLE_LINK77"/>
      <w:r>
        <w:rPr>
          <w:rFonts w:hint="eastAsia" w:ascii="仿宋_GB2312" w:eastAsia="仿宋_GB2312"/>
          <w:color w:val="auto"/>
          <w:sz w:val="32"/>
          <w:szCs w:val="32"/>
        </w:rPr>
        <w:t>公务接待费支出</w:t>
      </w:r>
      <w:bookmarkEnd w:id="62"/>
      <w:r>
        <w:rPr>
          <w:rFonts w:hint="eastAsia" w:ascii="仿宋_GB2312" w:eastAsia="仿宋_GB2312"/>
          <w:color w:val="auto"/>
          <w:sz w:val="32"/>
          <w:szCs w:val="32"/>
        </w:rPr>
        <w:t>0</w:t>
      </w:r>
      <w:r>
        <w:rPr>
          <w:rFonts w:hint="eastAsia" w:ascii="仿宋_GB2312" w:eastAsia="仿宋_GB2312"/>
          <w:color w:val="auto"/>
          <w:sz w:val="32"/>
          <w:szCs w:val="32"/>
        </w:rPr>
        <w:t>万元，占</w:t>
      </w:r>
      <w:r>
        <w:rPr>
          <w:rFonts w:hint="eastAsia" w:ascii="仿宋_GB2312" w:eastAsia="仿宋_GB2312"/>
          <w:color w:val="auto"/>
          <w:sz w:val="32"/>
          <w:szCs w:val="32"/>
        </w:rPr>
        <w:t>0%，</w:t>
      </w:r>
      <w:r>
        <w:rPr>
          <w:rFonts w:hint="eastAsia" w:ascii="仿宋_GB2312" w:eastAsia="仿宋_GB2312"/>
          <w:color w:val="auto"/>
          <w:sz w:val="32"/>
          <w:szCs w:val="32"/>
          <w:lang w:eastAsia="zh-CN"/>
        </w:rPr>
        <w:t>比</w:t>
      </w:r>
      <w:r>
        <w:rPr>
          <w:rFonts w:hint="eastAsia" w:ascii="仿宋_GB2312" w:eastAsia="仿宋_GB2312"/>
          <w:color w:val="auto"/>
          <w:sz w:val="32"/>
          <w:szCs w:val="32"/>
        </w:rPr>
        <w:t>上年</w:t>
      </w:r>
      <w:r>
        <w:rPr>
          <w:rFonts w:hint="eastAsia" w:ascii="仿宋_GB2312" w:eastAsia="仿宋_GB2312"/>
          <w:color w:val="auto"/>
          <w:sz w:val="32"/>
          <w:szCs w:val="32"/>
          <w:lang w:eastAsia="zh-CN"/>
        </w:rPr>
        <w:t>增加</w:t>
      </w:r>
      <w:r>
        <w:rPr>
          <w:rFonts w:hint="eastAsia" w:ascii="仿宋_GB2312" w:eastAsia="仿宋_GB2312"/>
          <w:color w:val="auto"/>
          <w:sz w:val="32"/>
          <w:szCs w:val="32"/>
          <w:lang w:val="en-US" w:eastAsia="zh-CN"/>
        </w:rPr>
        <w:t>0万元</w:t>
      </w:r>
      <w:r>
        <w:rPr>
          <w:rFonts w:hint="eastAsia" w:ascii="仿宋_GB2312" w:eastAsia="仿宋_GB2312"/>
          <w:color w:val="auto"/>
          <w:sz w:val="32"/>
          <w:szCs w:val="32"/>
        </w:rPr>
        <w:t>，</w:t>
      </w:r>
      <w:r>
        <w:rPr>
          <w:rFonts w:hint="eastAsia" w:ascii="仿宋_GB2312" w:eastAsia="仿宋_GB2312"/>
          <w:color w:val="auto"/>
          <w:sz w:val="32"/>
          <w:szCs w:val="32"/>
          <w:lang w:eastAsia="zh-CN"/>
        </w:rPr>
        <w:t>增长</w:t>
      </w:r>
      <w:r>
        <w:rPr>
          <w:rFonts w:hint="eastAsia" w:ascii="仿宋_GB2312" w:eastAsia="仿宋_GB2312"/>
          <w:color w:val="auto"/>
          <w:sz w:val="32"/>
          <w:szCs w:val="32"/>
          <w:lang w:val="en-US" w:eastAsia="zh-CN"/>
        </w:rPr>
        <w:t>0%，</w:t>
      </w:r>
      <w:r>
        <w:rPr>
          <w:rFonts w:hint="eastAsia" w:ascii="仿宋_GB2312" w:eastAsia="仿宋_GB2312"/>
          <w:color w:val="auto"/>
          <w:sz w:val="32"/>
          <w:szCs w:val="32"/>
          <w:lang w:eastAsia="zh-CN"/>
        </w:rPr>
        <w:t>增加原</w:t>
      </w:r>
      <w:r>
        <w:rPr>
          <w:rFonts w:hint="eastAsia" w:ascii="仿宋_GB2312" w:eastAsia="仿宋_GB2312"/>
          <w:color w:val="auto"/>
          <w:sz w:val="32"/>
          <w:szCs w:val="32"/>
        </w:rPr>
        <w:t>因是本单位无此项预算安排。</w:t>
      </w:r>
      <w:bookmarkEnd w:id="63"/>
      <w:bookmarkEnd w:id="64"/>
      <w:r>
        <w:rPr>
          <w:rFonts w:hint="eastAsia" w:ascii="仿宋_GB2312" w:eastAsia="仿宋_GB2312"/>
          <w:color w:val="auto"/>
          <w:sz w:val="32"/>
          <w:szCs w:val="32"/>
        </w:rPr>
        <w:t>具体情况如下：</w:t>
      </w:r>
    </w:p>
    <w:p>
      <w:pPr>
        <w:spacing w:line="540" w:lineRule="exact"/>
        <w:ind w:firstLine="640" w:firstLineChars="200"/>
        <w:rPr>
          <w:rFonts w:ascii="仿宋_GB2312" w:eastAsia="仿宋_GB2312"/>
          <w:color w:val="auto"/>
          <w:sz w:val="32"/>
          <w:szCs w:val="32"/>
        </w:rPr>
      </w:pPr>
      <w:bookmarkStart w:id="65" w:name="OLE_LINK80"/>
      <w:bookmarkStart w:id="66" w:name="OLE_LINK79"/>
      <w:r>
        <w:rPr>
          <w:rFonts w:hint="eastAsia" w:ascii="仿宋_GB2312" w:eastAsia="仿宋_GB2312"/>
          <w:color w:val="auto"/>
          <w:sz w:val="32"/>
          <w:szCs w:val="32"/>
        </w:rPr>
        <w:t>因公出国（境）费支出</w:t>
      </w:r>
      <w:r>
        <w:rPr>
          <w:rFonts w:hint="eastAsia" w:ascii="仿宋_GB2312" w:eastAsia="仿宋_GB2312"/>
          <w:color w:val="auto"/>
          <w:sz w:val="32"/>
          <w:szCs w:val="32"/>
        </w:rPr>
        <w:t>0</w:t>
      </w:r>
      <w:r>
        <w:rPr>
          <w:rFonts w:hint="eastAsia" w:ascii="仿宋_GB2312" w:eastAsia="仿宋_GB2312"/>
          <w:color w:val="auto"/>
          <w:sz w:val="32"/>
          <w:szCs w:val="32"/>
        </w:rPr>
        <w:t>万元。</w:t>
      </w:r>
      <w:r>
        <w:rPr>
          <w:rFonts w:hint="eastAsia" w:ascii="仿宋_GB2312" w:eastAsia="仿宋_GB2312"/>
          <w:color w:val="auto"/>
          <w:sz w:val="32"/>
          <w:szCs w:val="32"/>
        </w:rPr>
        <w:t>新疆喀什地区英吉沙县粮食局</w:t>
      </w:r>
      <w:r>
        <w:rPr>
          <w:rFonts w:hint="eastAsia" w:ascii="仿宋_GB2312" w:eastAsia="仿宋_GB2312"/>
          <w:color w:val="auto"/>
          <w:sz w:val="32"/>
          <w:szCs w:val="32"/>
        </w:rPr>
        <w:t>单位</w:t>
      </w:r>
      <w:bookmarkStart w:id="67" w:name="OLE_LINK33"/>
      <w:r>
        <w:rPr>
          <w:rFonts w:hint="eastAsia" w:ascii="仿宋_GB2312" w:eastAsia="仿宋_GB2312"/>
          <w:color w:val="auto"/>
          <w:sz w:val="32"/>
          <w:szCs w:val="32"/>
        </w:rPr>
        <w:t>全年</w:t>
      </w:r>
      <w:bookmarkStart w:id="68" w:name="OLE_LINK34"/>
      <w:bookmarkStart w:id="69" w:name="OLE_LINK35"/>
      <w:bookmarkStart w:id="70" w:name="OLE_LINK36"/>
      <w:r>
        <w:rPr>
          <w:rFonts w:hint="eastAsia" w:ascii="仿宋_GB2312" w:eastAsia="仿宋_GB2312"/>
          <w:color w:val="auto"/>
          <w:sz w:val="32"/>
          <w:szCs w:val="32"/>
        </w:rPr>
        <w:t>使用一般公共预算财政拨款安排的出国（境）团组</w:t>
      </w:r>
      <w:bookmarkEnd w:id="67"/>
      <w:bookmarkEnd w:id="68"/>
      <w:bookmarkEnd w:id="69"/>
      <w:r>
        <w:rPr>
          <w:rFonts w:hint="eastAsia" w:ascii="仿宋_GB2312" w:eastAsia="仿宋_GB2312"/>
          <w:color w:val="auto"/>
          <w:sz w:val="32"/>
          <w:szCs w:val="32"/>
        </w:rPr>
        <w:t>0</w:t>
      </w:r>
      <w:r>
        <w:rPr>
          <w:rFonts w:hint="eastAsia" w:ascii="仿宋_GB2312" w:eastAsia="仿宋_GB2312"/>
          <w:color w:val="auto"/>
          <w:sz w:val="32"/>
          <w:szCs w:val="32"/>
        </w:rPr>
        <w:t>个</w:t>
      </w:r>
      <w:bookmarkEnd w:id="70"/>
      <w:r>
        <w:rPr>
          <w:rFonts w:hint="eastAsia" w:ascii="仿宋_GB2312" w:eastAsia="仿宋_GB2312"/>
          <w:color w:val="auto"/>
          <w:sz w:val="32"/>
          <w:szCs w:val="32"/>
        </w:rPr>
        <w:t>，</w:t>
      </w:r>
      <w:bookmarkStart w:id="71" w:name="OLE_LINK37"/>
      <w:r>
        <w:rPr>
          <w:rFonts w:hint="eastAsia" w:ascii="仿宋_GB2312" w:eastAsia="仿宋_GB2312"/>
          <w:color w:val="auto"/>
          <w:sz w:val="32"/>
          <w:szCs w:val="32"/>
        </w:rPr>
        <w:t>累计</w:t>
      </w:r>
      <w:r>
        <w:rPr>
          <w:rFonts w:hint="eastAsia" w:ascii="仿宋_GB2312" w:eastAsia="仿宋_GB2312"/>
          <w:color w:val="auto"/>
          <w:sz w:val="32"/>
          <w:szCs w:val="32"/>
        </w:rPr>
        <w:t>0</w:t>
      </w:r>
      <w:r>
        <w:rPr>
          <w:rFonts w:hint="eastAsia" w:ascii="仿宋_GB2312" w:eastAsia="仿宋_GB2312"/>
          <w:color w:val="auto"/>
          <w:sz w:val="32"/>
          <w:szCs w:val="32"/>
        </w:rPr>
        <w:t>人次</w:t>
      </w:r>
      <w:bookmarkEnd w:id="71"/>
      <w:r>
        <w:rPr>
          <w:rFonts w:hint="eastAsia" w:ascii="仿宋_GB2312" w:eastAsia="仿宋_GB2312"/>
          <w:color w:val="auto"/>
          <w:sz w:val="32"/>
          <w:szCs w:val="32"/>
        </w:rPr>
        <w:t>。</w:t>
      </w:r>
      <w:bookmarkStart w:id="72" w:name="OLE_LINK38"/>
      <w:r>
        <w:rPr>
          <w:rFonts w:hint="eastAsia" w:ascii="仿宋_GB2312" w:eastAsia="仿宋_GB2312"/>
          <w:color w:val="auto"/>
          <w:sz w:val="32"/>
          <w:szCs w:val="32"/>
        </w:rPr>
        <w:t>开支内容包括：</w:t>
      </w:r>
      <w:r>
        <w:rPr>
          <w:rFonts w:ascii="仿宋_GB2312" w:eastAsia="仿宋_GB2312"/>
          <w:color w:val="auto"/>
          <w:sz w:val="32"/>
          <w:szCs w:val="32"/>
        </w:rPr>
        <w:t>本单位无此项预算安排。</w:t>
      </w:r>
      <w:bookmarkEnd w:id="65"/>
      <w:bookmarkEnd w:id="66"/>
      <w:bookmarkEnd w:id="72"/>
    </w:p>
    <w:p>
      <w:pPr>
        <w:spacing w:line="540" w:lineRule="exact"/>
        <w:ind w:firstLine="640" w:firstLineChars="200"/>
        <w:rPr>
          <w:rFonts w:ascii="仿宋_GB2312" w:eastAsia="仿宋_GB2312"/>
          <w:color w:val="auto"/>
          <w:sz w:val="32"/>
          <w:szCs w:val="32"/>
        </w:rPr>
      </w:pPr>
      <w:bookmarkStart w:id="73" w:name="OLE_LINK81"/>
      <w:r>
        <w:rPr>
          <w:rFonts w:hint="eastAsia" w:ascii="仿宋_GB2312" w:eastAsia="仿宋_GB2312"/>
          <w:color w:val="auto"/>
          <w:sz w:val="32"/>
          <w:szCs w:val="32"/>
        </w:rPr>
        <w:t>公务用车购置及运行维护费</w:t>
      </w:r>
      <w:r>
        <w:rPr>
          <w:rFonts w:hint="eastAsia" w:ascii="仿宋_GB2312" w:eastAsia="仿宋_GB2312"/>
          <w:color w:val="auto"/>
          <w:sz w:val="32"/>
          <w:szCs w:val="32"/>
        </w:rPr>
        <w:t>0.75</w:t>
      </w:r>
      <w:r>
        <w:rPr>
          <w:rFonts w:hint="eastAsia" w:ascii="仿宋_GB2312" w:eastAsia="仿宋_GB2312"/>
          <w:color w:val="auto"/>
          <w:sz w:val="32"/>
          <w:szCs w:val="32"/>
        </w:rPr>
        <w:t>万元,其中，</w:t>
      </w:r>
      <w:bookmarkStart w:id="74" w:name="OLE_LINK39"/>
      <w:r>
        <w:rPr>
          <w:rFonts w:hint="eastAsia" w:ascii="仿宋_GB2312" w:eastAsia="仿宋_GB2312"/>
          <w:color w:val="auto"/>
          <w:sz w:val="32"/>
          <w:szCs w:val="32"/>
        </w:rPr>
        <w:t>公务用车购置</w:t>
      </w:r>
      <w:r>
        <w:rPr>
          <w:rFonts w:hint="eastAsia" w:ascii="仿宋_GB2312" w:eastAsia="仿宋_GB2312"/>
          <w:color w:val="auto"/>
          <w:sz w:val="32"/>
          <w:szCs w:val="32"/>
        </w:rPr>
        <w:t>0</w:t>
      </w:r>
      <w:r>
        <w:rPr>
          <w:rFonts w:hint="eastAsia" w:ascii="仿宋_GB2312" w:eastAsia="仿宋_GB2312"/>
          <w:color w:val="auto"/>
          <w:sz w:val="32"/>
          <w:szCs w:val="32"/>
        </w:rPr>
        <w:t>万元</w:t>
      </w:r>
      <w:bookmarkEnd w:id="74"/>
      <w:r>
        <w:rPr>
          <w:rFonts w:hint="eastAsia" w:ascii="仿宋_GB2312" w:eastAsia="仿宋_GB2312"/>
          <w:color w:val="auto"/>
          <w:sz w:val="32"/>
          <w:szCs w:val="32"/>
        </w:rPr>
        <w:t>，</w:t>
      </w:r>
      <w:bookmarkStart w:id="75" w:name="OLE_LINK40"/>
      <w:bookmarkStart w:id="76" w:name="OLE_LINK41"/>
      <w:r>
        <w:rPr>
          <w:rFonts w:hint="eastAsia" w:ascii="仿宋_GB2312" w:eastAsia="仿宋_GB2312"/>
          <w:color w:val="auto"/>
          <w:sz w:val="32"/>
          <w:szCs w:val="32"/>
        </w:rPr>
        <w:t>公务用车运行维护费</w:t>
      </w:r>
      <w:r>
        <w:rPr>
          <w:rFonts w:hint="eastAsia" w:ascii="仿宋_GB2312" w:eastAsia="仿宋_GB2312"/>
          <w:color w:val="auto"/>
          <w:sz w:val="32"/>
          <w:szCs w:val="32"/>
        </w:rPr>
        <w:t>0.75</w:t>
      </w:r>
      <w:r>
        <w:rPr>
          <w:rFonts w:hint="eastAsia" w:ascii="仿宋_GB2312" w:eastAsia="仿宋_GB2312"/>
          <w:color w:val="auto"/>
          <w:sz w:val="32"/>
          <w:szCs w:val="32"/>
        </w:rPr>
        <w:t>万元</w:t>
      </w:r>
      <w:bookmarkEnd w:id="75"/>
      <w:bookmarkEnd w:id="76"/>
      <w:r>
        <w:rPr>
          <w:rFonts w:hint="eastAsia" w:ascii="仿宋_GB2312" w:eastAsia="仿宋_GB2312"/>
          <w:color w:val="auto"/>
          <w:sz w:val="32"/>
          <w:szCs w:val="32"/>
        </w:rPr>
        <w:t>。主要用于</w:t>
      </w:r>
      <w:r>
        <w:rPr>
          <w:rFonts w:hint="eastAsia" w:ascii="仿宋_GB2312" w:eastAsia="仿宋_GB2312"/>
          <w:color w:val="auto"/>
          <w:sz w:val="32"/>
          <w:szCs w:val="32"/>
        </w:rPr>
        <w:t>车辆保险费、维修费、过路费、加油费</w:t>
      </w:r>
      <w:r>
        <w:rPr>
          <w:rFonts w:hint="eastAsia" w:ascii="仿宋_GB2312" w:eastAsia="仿宋_GB2312"/>
          <w:color w:val="auto"/>
          <w:sz w:val="32"/>
          <w:szCs w:val="32"/>
        </w:rPr>
        <w:t>等。</w:t>
      </w:r>
      <w:bookmarkEnd w:id="73"/>
      <w:bookmarkStart w:id="77" w:name="OLE_LINK82"/>
      <w:r>
        <w:rPr>
          <w:rFonts w:hint="eastAsia" w:ascii="仿宋_GB2312" w:eastAsia="仿宋_GB2312"/>
          <w:color w:val="auto"/>
          <w:sz w:val="32"/>
          <w:szCs w:val="32"/>
        </w:rPr>
        <w:t>单位一般公共财政拨款安排的公务用车购置量</w:t>
      </w:r>
      <w:r>
        <w:rPr>
          <w:rFonts w:hint="eastAsia" w:ascii="仿宋_GB2312" w:eastAsia="仿宋_GB2312"/>
          <w:color w:val="auto"/>
          <w:sz w:val="32"/>
          <w:szCs w:val="32"/>
        </w:rPr>
        <w:t>0</w:t>
      </w:r>
      <w:r>
        <w:rPr>
          <w:rFonts w:hint="eastAsia" w:ascii="仿宋_GB2312" w:eastAsia="仿宋_GB2312"/>
          <w:color w:val="auto"/>
          <w:sz w:val="32"/>
          <w:szCs w:val="32"/>
        </w:rPr>
        <w:t>辆，保有量为</w:t>
      </w:r>
      <w:r>
        <w:rPr>
          <w:rFonts w:hint="eastAsia" w:ascii="仿宋_GB2312" w:eastAsia="仿宋_GB2312"/>
          <w:color w:val="auto"/>
          <w:sz w:val="32"/>
          <w:szCs w:val="32"/>
        </w:rPr>
        <w:t>1</w:t>
      </w:r>
      <w:r>
        <w:rPr>
          <w:rFonts w:hint="eastAsia" w:ascii="仿宋_GB2312" w:eastAsia="仿宋_GB2312"/>
          <w:color w:val="auto"/>
          <w:sz w:val="32"/>
          <w:szCs w:val="32"/>
        </w:rPr>
        <w:t>辆。</w:t>
      </w:r>
      <w:bookmarkEnd w:id="77"/>
    </w:p>
    <w:p>
      <w:pPr>
        <w:spacing w:line="540" w:lineRule="exact"/>
        <w:ind w:firstLine="640" w:firstLineChars="200"/>
        <w:rPr>
          <w:rFonts w:ascii="仿宋_GB2312" w:eastAsia="仿宋_GB2312"/>
          <w:color w:val="auto"/>
          <w:sz w:val="32"/>
          <w:szCs w:val="32"/>
        </w:rPr>
      </w:pPr>
      <w:bookmarkStart w:id="78" w:name="OLE_LINK83"/>
      <w:r>
        <w:rPr>
          <w:rFonts w:hint="eastAsia" w:ascii="仿宋_GB2312" w:eastAsia="仿宋_GB2312"/>
          <w:color w:val="auto"/>
          <w:sz w:val="32"/>
          <w:szCs w:val="32"/>
        </w:rPr>
        <w:t>公务接待费</w:t>
      </w:r>
      <w:r>
        <w:rPr>
          <w:rFonts w:hint="eastAsia" w:ascii="仿宋_GB2312" w:eastAsia="仿宋_GB2312"/>
          <w:color w:val="auto"/>
          <w:sz w:val="32"/>
          <w:szCs w:val="32"/>
        </w:rPr>
        <w:t>0</w:t>
      </w:r>
      <w:r>
        <w:rPr>
          <w:rFonts w:hint="eastAsia" w:ascii="仿宋_GB2312" w:eastAsia="仿宋_GB2312"/>
          <w:color w:val="auto"/>
          <w:sz w:val="32"/>
          <w:szCs w:val="32"/>
        </w:rPr>
        <w:t>万元。具体是：国内公务接待支出</w:t>
      </w:r>
      <w:r>
        <w:rPr>
          <w:rFonts w:hint="eastAsia" w:ascii="仿宋_GB2312" w:eastAsia="仿宋_GB2312"/>
          <w:color w:val="auto"/>
          <w:sz w:val="32"/>
          <w:szCs w:val="32"/>
        </w:rPr>
        <w:t>0</w:t>
      </w:r>
      <w:r>
        <w:rPr>
          <w:rFonts w:hint="eastAsia" w:ascii="仿宋_GB2312" w:eastAsia="仿宋_GB2312"/>
          <w:color w:val="auto"/>
          <w:sz w:val="32"/>
          <w:szCs w:val="32"/>
        </w:rPr>
        <w:t>万元，主要是</w:t>
      </w:r>
      <w:r>
        <w:rPr>
          <w:rFonts w:hint="eastAsia" w:ascii="仿宋_GB2312" w:eastAsia="仿宋_GB2312"/>
          <w:color w:val="auto"/>
          <w:sz w:val="32"/>
          <w:szCs w:val="32"/>
        </w:rPr>
        <w:t>本单位无此项预算安排</w:t>
      </w:r>
      <w:r>
        <w:rPr>
          <w:rFonts w:hint="eastAsia" w:ascii="仿宋_GB2312" w:eastAsia="仿宋_GB2312"/>
          <w:color w:val="auto"/>
          <w:sz w:val="32"/>
          <w:szCs w:val="32"/>
        </w:rPr>
        <w:t>等。</w:t>
      </w:r>
      <w:bookmarkEnd w:id="78"/>
      <w:bookmarkStart w:id="79" w:name="OLE_LINK84"/>
      <w:r>
        <w:rPr>
          <w:rFonts w:hint="eastAsia" w:ascii="仿宋_GB2312" w:eastAsia="仿宋_GB2312"/>
          <w:color w:val="auto"/>
          <w:sz w:val="32"/>
          <w:szCs w:val="32"/>
        </w:rPr>
        <w:t>新疆喀什地区英吉沙县粮食局</w:t>
      </w:r>
      <w:r>
        <w:rPr>
          <w:rFonts w:hint="eastAsia" w:ascii="仿宋_GB2312" w:eastAsia="仿宋_GB2312"/>
          <w:color w:val="auto"/>
          <w:sz w:val="32"/>
          <w:szCs w:val="32"/>
        </w:rPr>
        <w:t>单位国内公务接待</w:t>
      </w:r>
      <w:r>
        <w:rPr>
          <w:rFonts w:hint="eastAsia" w:ascii="仿宋_GB2312" w:eastAsia="仿宋_GB2312"/>
          <w:color w:val="auto"/>
          <w:sz w:val="32"/>
          <w:szCs w:val="32"/>
        </w:rPr>
        <w:t>0</w:t>
      </w:r>
      <w:r>
        <w:rPr>
          <w:rFonts w:hint="eastAsia" w:ascii="仿宋_GB2312" w:eastAsia="仿宋_GB2312"/>
          <w:color w:val="auto"/>
          <w:sz w:val="32"/>
          <w:szCs w:val="32"/>
        </w:rPr>
        <w:t>批次，</w:t>
      </w:r>
      <w:r>
        <w:rPr>
          <w:rFonts w:hint="eastAsia" w:ascii="仿宋_GB2312" w:eastAsia="仿宋_GB2312"/>
          <w:color w:val="auto"/>
          <w:sz w:val="32"/>
          <w:szCs w:val="32"/>
        </w:rPr>
        <w:t>0</w:t>
      </w:r>
      <w:r>
        <w:rPr>
          <w:rFonts w:hint="eastAsia" w:ascii="仿宋_GB2312" w:eastAsia="仿宋_GB2312"/>
          <w:color w:val="auto"/>
          <w:sz w:val="32"/>
          <w:szCs w:val="32"/>
        </w:rPr>
        <w:t>人次。</w:t>
      </w:r>
      <w:bookmarkEnd w:id="79"/>
    </w:p>
    <w:p>
      <w:pPr>
        <w:spacing w:line="540" w:lineRule="exact"/>
        <w:ind w:firstLine="640" w:firstLineChars="200"/>
        <w:rPr>
          <w:rFonts w:ascii="仿宋_GB2312" w:hAnsi="宋体" w:eastAsia="仿宋_GB2312" w:cs="宋体"/>
          <w:color w:val="auto"/>
          <w:kern w:val="0"/>
          <w:sz w:val="32"/>
          <w:szCs w:val="32"/>
        </w:rPr>
      </w:pPr>
      <w:bookmarkStart w:id="80" w:name="OLE_LINK85"/>
      <w:r>
        <w:rPr>
          <w:rFonts w:hint="eastAsia" w:ascii="仿宋_GB2312" w:eastAsia="仿宋_GB2312"/>
          <w:color w:val="auto"/>
          <w:sz w:val="32"/>
          <w:szCs w:val="32"/>
        </w:rPr>
        <w:t>与年初预算数相比情况：一般公共预算“三公”经费支出年初预算数</w:t>
      </w:r>
      <w:r>
        <w:rPr>
          <w:rFonts w:ascii="仿宋_GB2312" w:eastAsia="仿宋_GB2312"/>
          <w:color w:val="auto"/>
          <w:sz w:val="32"/>
          <w:szCs w:val="32"/>
        </w:rPr>
        <w:t>0.75</w:t>
      </w:r>
      <w:r>
        <w:rPr>
          <w:rFonts w:hint="eastAsia" w:ascii="仿宋_GB2312" w:eastAsia="仿宋_GB2312"/>
          <w:color w:val="auto"/>
          <w:sz w:val="32"/>
          <w:szCs w:val="32"/>
        </w:rPr>
        <w:t>万元，决算数0.75万元</w:t>
      </w:r>
      <w:r>
        <w:rPr>
          <w:rFonts w:ascii="仿宋_GB2312" w:eastAsia="仿宋_GB2312"/>
          <w:color w:val="auto"/>
          <w:sz w:val="32"/>
          <w:szCs w:val="32"/>
        </w:rPr>
        <w:t>，预决算差异率0%，差异主要原因是公务用车运行维护费有所压缩。</w:t>
      </w:r>
      <w:bookmarkEnd w:id="80"/>
      <w:bookmarkStart w:id="81" w:name="OLE_LINK87"/>
      <w:bookmarkStart w:id="82" w:name="OLE_LINK86"/>
      <w:r>
        <w:rPr>
          <w:rFonts w:hint="eastAsia" w:ascii="仿宋_GB2312" w:hAnsi="宋体" w:eastAsia="仿宋_GB2312" w:cs="宋体"/>
          <w:color w:val="auto"/>
          <w:kern w:val="0"/>
          <w:sz w:val="32"/>
          <w:szCs w:val="32"/>
        </w:rPr>
        <w:t>其中：因公出国（境）费</w:t>
      </w:r>
      <w:r>
        <w:rPr>
          <w:rFonts w:hint="eastAsia" w:ascii="仿宋_GB2312" w:eastAsia="仿宋_GB2312"/>
          <w:color w:val="auto"/>
          <w:sz w:val="32"/>
          <w:szCs w:val="32"/>
        </w:rPr>
        <w:t>预算数</w:t>
      </w:r>
      <w:r>
        <w:rPr>
          <w:rFonts w:ascii="仿宋_GB2312" w:eastAsia="仿宋_GB2312"/>
          <w:color w:val="auto"/>
          <w:sz w:val="32"/>
          <w:szCs w:val="32"/>
        </w:rPr>
        <w:t>0</w:t>
      </w:r>
      <w:r>
        <w:rPr>
          <w:rFonts w:hint="eastAsia" w:ascii="仿宋_GB2312" w:eastAsia="仿宋_GB2312"/>
          <w:color w:val="auto"/>
          <w:sz w:val="32"/>
          <w:szCs w:val="32"/>
        </w:rPr>
        <w:t>万元，决算数0万元</w:t>
      </w:r>
      <w:r>
        <w:rPr>
          <w:rFonts w:ascii="仿宋_GB2312" w:eastAsia="仿宋_GB2312"/>
          <w:color w:val="auto"/>
          <w:sz w:val="32"/>
          <w:szCs w:val="32"/>
        </w:rPr>
        <w:t>，预决算差异率0%，差异主要原因是本单位无此项预算安排；</w:t>
      </w:r>
      <w:bookmarkEnd w:id="81"/>
      <w:bookmarkEnd w:id="82"/>
      <w:bookmarkStart w:id="83" w:name="OLE_LINK89"/>
      <w:bookmarkStart w:id="84" w:name="OLE_LINK88"/>
      <w:r>
        <w:rPr>
          <w:rFonts w:hint="eastAsia" w:ascii="仿宋_GB2312" w:hAnsi="宋体" w:eastAsia="仿宋_GB2312" w:cs="宋体"/>
          <w:color w:val="auto"/>
          <w:kern w:val="0"/>
          <w:sz w:val="32"/>
          <w:szCs w:val="32"/>
        </w:rPr>
        <w:t>公务用车购置</w:t>
      </w:r>
      <w:r>
        <w:rPr>
          <w:rFonts w:hint="eastAsia" w:ascii="仿宋_GB2312" w:eastAsia="仿宋_GB2312"/>
          <w:color w:val="auto"/>
          <w:sz w:val="32"/>
          <w:szCs w:val="32"/>
        </w:rPr>
        <w:t>预算数</w:t>
      </w:r>
      <w:r>
        <w:rPr>
          <w:rFonts w:ascii="仿宋_GB2312" w:eastAsia="仿宋_GB2312"/>
          <w:color w:val="auto"/>
          <w:sz w:val="32"/>
          <w:szCs w:val="32"/>
        </w:rPr>
        <w:t>0</w:t>
      </w:r>
      <w:r>
        <w:rPr>
          <w:rFonts w:hint="eastAsia" w:ascii="仿宋_GB2312" w:eastAsia="仿宋_GB2312"/>
          <w:color w:val="auto"/>
          <w:sz w:val="32"/>
          <w:szCs w:val="32"/>
        </w:rPr>
        <w:t>万元，决算数</w:t>
      </w:r>
      <w:r>
        <w:rPr>
          <w:rFonts w:ascii="仿宋_GB2312" w:eastAsia="仿宋_GB2312"/>
          <w:color w:val="auto"/>
          <w:sz w:val="32"/>
          <w:szCs w:val="32"/>
        </w:rPr>
        <w:t>0</w:t>
      </w:r>
      <w:r>
        <w:rPr>
          <w:rFonts w:hint="eastAsia" w:ascii="仿宋_GB2312" w:eastAsia="仿宋_GB2312"/>
          <w:color w:val="auto"/>
          <w:sz w:val="32"/>
          <w:szCs w:val="32"/>
        </w:rPr>
        <w:t>万元</w:t>
      </w:r>
      <w:r>
        <w:rPr>
          <w:rFonts w:ascii="仿宋_GB2312" w:eastAsia="仿宋_GB2312"/>
          <w:color w:val="auto"/>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auto"/>
          <w:kern w:val="0"/>
          <w:sz w:val="32"/>
          <w:szCs w:val="32"/>
        </w:rPr>
        <w:t>公务用车运行费</w:t>
      </w:r>
      <w:r>
        <w:rPr>
          <w:rFonts w:hint="eastAsia" w:ascii="仿宋_GB2312" w:eastAsia="仿宋_GB2312"/>
          <w:color w:val="auto"/>
          <w:sz w:val="32"/>
          <w:szCs w:val="32"/>
        </w:rPr>
        <w:t>预算数</w:t>
      </w:r>
      <w:r>
        <w:rPr>
          <w:rFonts w:ascii="仿宋_GB2312" w:eastAsia="仿宋_GB2312"/>
          <w:color w:val="auto"/>
          <w:sz w:val="32"/>
          <w:szCs w:val="32"/>
        </w:rPr>
        <w:t>0.75</w:t>
      </w:r>
      <w:r>
        <w:rPr>
          <w:rFonts w:hint="eastAsia" w:ascii="仿宋_GB2312" w:eastAsia="仿宋_GB2312"/>
          <w:color w:val="auto"/>
          <w:sz w:val="32"/>
          <w:szCs w:val="32"/>
        </w:rPr>
        <w:t>万元，决算数</w:t>
      </w:r>
      <w:r>
        <w:rPr>
          <w:rFonts w:ascii="仿宋_GB2312" w:eastAsia="仿宋_GB2312"/>
          <w:color w:val="auto"/>
          <w:sz w:val="32"/>
          <w:szCs w:val="32"/>
        </w:rPr>
        <w:t>0.75</w:t>
      </w:r>
      <w:r>
        <w:rPr>
          <w:rFonts w:hint="eastAsia" w:ascii="仿宋_GB2312" w:eastAsia="仿宋_GB2312"/>
          <w:color w:val="auto"/>
          <w:sz w:val="32"/>
          <w:szCs w:val="32"/>
        </w:rPr>
        <w:t>万元</w:t>
      </w:r>
      <w:r>
        <w:rPr>
          <w:rFonts w:ascii="仿宋_GB2312" w:eastAsia="仿宋_GB2312"/>
          <w:color w:val="auto"/>
          <w:sz w:val="32"/>
          <w:szCs w:val="32"/>
        </w:rPr>
        <w:t>，预决算差异率0%，差异主要原因是公务用车运行维护费有所压缩；</w:t>
      </w:r>
      <w:bookmarkEnd w:id="85"/>
      <w:bookmarkStart w:id="86" w:name="OLE_LINK91"/>
      <w:r>
        <w:rPr>
          <w:rFonts w:hint="eastAsia" w:ascii="仿宋_GB2312" w:hAnsi="宋体" w:eastAsia="仿宋_GB2312" w:cs="宋体"/>
          <w:color w:val="auto"/>
          <w:kern w:val="0"/>
          <w:sz w:val="32"/>
          <w:szCs w:val="32"/>
        </w:rPr>
        <w:t>公务接待费</w:t>
      </w:r>
      <w:r>
        <w:rPr>
          <w:rFonts w:hint="eastAsia" w:ascii="仿宋_GB2312" w:eastAsia="仿宋_GB2312"/>
          <w:color w:val="auto"/>
          <w:sz w:val="32"/>
          <w:szCs w:val="32"/>
        </w:rPr>
        <w:t>预算数</w:t>
      </w:r>
      <w:r>
        <w:rPr>
          <w:rFonts w:ascii="仿宋_GB2312" w:eastAsia="仿宋_GB2312"/>
          <w:color w:val="auto"/>
          <w:sz w:val="32"/>
          <w:szCs w:val="32"/>
        </w:rPr>
        <w:t>0</w:t>
      </w:r>
      <w:r>
        <w:rPr>
          <w:rFonts w:hint="eastAsia" w:ascii="仿宋_GB2312" w:eastAsia="仿宋_GB2312"/>
          <w:color w:val="auto"/>
          <w:sz w:val="32"/>
          <w:szCs w:val="32"/>
        </w:rPr>
        <w:t>万元，决算数0万元</w:t>
      </w:r>
      <w:r>
        <w:rPr>
          <w:rFonts w:ascii="仿宋_GB2312" w:eastAsia="仿宋_GB2312"/>
          <w:color w:val="auto"/>
          <w:sz w:val="32"/>
          <w:szCs w:val="32"/>
        </w:rPr>
        <w:t>，预决算差异率0%，差异主要原因是</w:t>
      </w:r>
      <w:bookmarkEnd w:id="86"/>
      <w:r>
        <w:rPr>
          <w:rFonts w:ascii="仿宋_GB2312" w:eastAsia="仿宋_GB2312"/>
          <w:color w:val="auto"/>
          <w:sz w:val="32"/>
          <w:szCs w:val="32"/>
        </w:rPr>
        <w:t>本单位无此项预算安排。</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五、机关运行经费支出情况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度新疆喀什地区英吉沙县粮食局机关运行经费支出2.52万元，与上年相比，增加0.49万元，增长24.14%，增加的主要原因是：2018年公用支出增加0.49万元，是由于2018年财政补拨了以前年度欠缴的公用取暖费经费，所以导致基本公用经费增加。</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六、政府采购情况</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2018年度</w:t>
      </w:r>
      <w:bookmarkStart w:id="87" w:name="OLE_LINK45"/>
      <w:r>
        <w:rPr>
          <w:rFonts w:hint="eastAsia" w:ascii="仿宋_GB2312" w:eastAsia="仿宋_GB2312"/>
          <w:color w:val="auto"/>
          <w:sz w:val="32"/>
          <w:szCs w:val="32"/>
        </w:rPr>
        <w:t>政府采购支出总额</w:t>
      </w:r>
      <w:bookmarkEnd w:id="87"/>
      <w:r>
        <w:rPr>
          <w:rFonts w:hint="eastAsia" w:ascii="仿宋_GB2312" w:eastAsia="仿宋_GB2312"/>
          <w:color w:val="auto"/>
          <w:sz w:val="32"/>
          <w:szCs w:val="32"/>
        </w:rPr>
        <w:t>0</w:t>
      </w:r>
      <w:r>
        <w:rPr>
          <w:rFonts w:hint="eastAsia" w:ascii="仿宋_GB2312" w:eastAsia="仿宋_GB2312"/>
          <w:color w:val="auto"/>
          <w:sz w:val="32"/>
          <w:szCs w:val="32"/>
        </w:rPr>
        <w:t>万元，其中：</w:t>
      </w:r>
      <w:bookmarkStart w:id="88" w:name="OLE_LINK46"/>
      <w:r>
        <w:rPr>
          <w:rFonts w:hint="eastAsia" w:ascii="仿宋_GB2312" w:eastAsia="仿宋_GB2312"/>
          <w:color w:val="auto"/>
          <w:sz w:val="32"/>
          <w:szCs w:val="32"/>
        </w:rPr>
        <w:t>政府采购货物支出</w:t>
      </w:r>
      <w:bookmarkEnd w:id="88"/>
      <w:r>
        <w:rPr>
          <w:rFonts w:hint="eastAsia" w:ascii="仿宋_GB2312" w:eastAsia="仿宋_GB2312"/>
          <w:color w:val="auto"/>
          <w:sz w:val="32"/>
          <w:szCs w:val="32"/>
        </w:rPr>
        <w:t>0</w:t>
      </w:r>
      <w:r>
        <w:rPr>
          <w:rFonts w:hint="eastAsia" w:ascii="仿宋_GB2312" w:eastAsia="仿宋_GB2312"/>
          <w:color w:val="auto"/>
          <w:sz w:val="32"/>
          <w:szCs w:val="32"/>
        </w:rPr>
        <w:t>万元、</w:t>
      </w:r>
      <w:bookmarkStart w:id="89" w:name="OLE_LINK47"/>
      <w:r>
        <w:rPr>
          <w:rFonts w:hint="eastAsia" w:ascii="仿宋_GB2312" w:eastAsia="仿宋_GB2312"/>
          <w:color w:val="auto"/>
          <w:sz w:val="32"/>
          <w:szCs w:val="32"/>
        </w:rPr>
        <w:t>政府采购工程支出</w:t>
      </w:r>
      <w:bookmarkEnd w:id="89"/>
      <w:r>
        <w:rPr>
          <w:rFonts w:hint="eastAsia" w:ascii="仿宋_GB2312" w:eastAsia="仿宋_GB2312"/>
          <w:color w:val="auto"/>
          <w:sz w:val="32"/>
          <w:szCs w:val="32"/>
        </w:rPr>
        <w:t>0</w:t>
      </w:r>
      <w:r>
        <w:rPr>
          <w:rFonts w:hint="eastAsia" w:ascii="仿宋_GB2312" w:eastAsia="仿宋_GB2312"/>
          <w:color w:val="auto"/>
          <w:sz w:val="32"/>
          <w:szCs w:val="32"/>
        </w:rPr>
        <w:t>万元、</w:t>
      </w:r>
      <w:bookmarkStart w:id="90" w:name="OLE_LINK48"/>
      <w:r>
        <w:rPr>
          <w:rFonts w:hint="eastAsia" w:ascii="仿宋_GB2312" w:eastAsia="仿宋_GB2312"/>
          <w:color w:val="auto"/>
          <w:sz w:val="32"/>
          <w:szCs w:val="32"/>
        </w:rPr>
        <w:t>政府采购服务支出</w:t>
      </w:r>
      <w:bookmarkEnd w:id="90"/>
      <w:r>
        <w:rPr>
          <w:rFonts w:hint="eastAsia" w:ascii="仿宋_GB2312" w:eastAsia="仿宋_GB2312"/>
          <w:color w:val="auto"/>
          <w:sz w:val="32"/>
          <w:szCs w:val="32"/>
        </w:rPr>
        <w:t>0</w:t>
      </w:r>
      <w:r>
        <w:rPr>
          <w:rFonts w:hint="eastAsia" w:ascii="仿宋_GB2312" w:eastAsia="仿宋_GB2312"/>
          <w:color w:val="auto"/>
          <w:sz w:val="32"/>
          <w:szCs w:val="32"/>
        </w:rPr>
        <w:t>万元。</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七、其他重要事项的情况</w:t>
      </w:r>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（一）国有资产占用情况说明</w:t>
      </w:r>
    </w:p>
    <w:p>
      <w:pPr>
        <w:spacing w:line="540" w:lineRule="exact"/>
        <w:ind w:firstLine="640" w:firstLineChars="200"/>
        <w:rPr>
          <w:rFonts w:ascii="仿宋_GB2312" w:eastAsia="仿宋_GB2312"/>
          <w:color w:val="auto"/>
          <w:sz w:val="32"/>
          <w:szCs w:val="32"/>
        </w:rPr>
      </w:pPr>
      <w:bookmarkStart w:id="91" w:name="OLE_LINK97"/>
      <w:r>
        <w:rPr>
          <w:rFonts w:hint="eastAsia" w:ascii="仿宋_GB2312" w:eastAsia="仿宋_GB2312"/>
          <w:color w:val="auto"/>
          <w:sz w:val="32"/>
          <w:szCs w:val="32"/>
        </w:rPr>
        <w:t>截至2018年12月31日，单位共有车辆</w:t>
      </w:r>
      <w:r>
        <w:rPr>
          <w:rFonts w:hint="eastAsia" w:ascii="仿宋_GB2312" w:eastAsia="仿宋_GB2312"/>
          <w:color w:val="auto"/>
          <w:sz w:val="32"/>
          <w:szCs w:val="32"/>
        </w:rPr>
        <w:t>1</w:t>
      </w:r>
      <w:r>
        <w:rPr>
          <w:rFonts w:hint="eastAsia" w:ascii="仿宋_GB2312" w:eastAsia="仿宋_GB2312"/>
          <w:color w:val="auto"/>
          <w:sz w:val="32"/>
          <w:szCs w:val="32"/>
        </w:rPr>
        <w:t>辆，价值</w:t>
      </w:r>
      <w:r>
        <w:rPr>
          <w:rFonts w:hint="eastAsia" w:ascii="仿宋_GB2312" w:eastAsia="仿宋_GB2312"/>
          <w:color w:val="auto"/>
          <w:sz w:val="32"/>
          <w:szCs w:val="32"/>
        </w:rPr>
        <w:t>10.86</w:t>
      </w:r>
      <w:r>
        <w:rPr>
          <w:rFonts w:hint="eastAsia" w:ascii="仿宋_GB2312" w:eastAsia="仿宋_GB2312"/>
          <w:color w:val="auto"/>
          <w:sz w:val="32"/>
          <w:szCs w:val="32"/>
        </w:rPr>
        <w:t>万元，其中：部级领导干部用车</w:t>
      </w:r>
      <w:r>
        <w:rPr>
          <w:rFonts w:hint="eastAsia" w:ascii="仿宋_GB2312" w:eastAsia="仿宋_GB2312"/>
          <w:color w:val="auto"/>
          <w:sz w:val="32"/>
          <w:szCs w:val="32"/>
        </w:rPr>
        <w:t>0</w:t>
      </w:r>
      <w:r>
        <w:rPr>
          <w:rFonts w:hint="eastAsia" w:ascii="仿宋_GB2312" w:eastAsia="仿宋_GB2312"/>
          <w:color w:val="auto"/>
          <w:sz w:val="32"/>
          <w:szCs w:val="32"/>
        </w:rPr>
        <w:t>辆、主要领导干部用车</w:t>
      </w:r>
      <w:r>
        <w:rPr>
          <w:rFonts w:ascii="仿宋_GB2312" w:eastAsia="仿宋_GB2312"/>
          <w:color w:val="auto"/>
          <w:sz w:val="32"/>
          <w:szCs w:val="32"/>
        </w:rPr>
        <w:t>1</w:t>
      </w:r>
      <w:r>
        <w:rPr>
          <w:rFonts w:hint="eastAsia" w:ascii="仿宋_GB2312" w:eastAsia="仿宋_GB2312"/>
          <w:color w:val="auto"/>
          <w:sz w:val="32"/>
          <w:szCs w:val="32"/>
        </w:rPr>
        <w:t>辆、机要通信用车</w:t>
      </w:r>
      <w:r>
        <w:rPr>
          <w:rFonts w:ascii="仿宋_GB2312" w:eastAsia="仿宋_GB2312"/>
          <w:color w:val="auto"/>
          <w:sz w:val="32"/>
          <w:szCs w:val="32"/>
        </w:rPr>
        <w:t>0</w:t>
      </w:r>
      <w:r>
        <w:rPr>
          <w:rFonts w:hint="eastAsia" w:ascii="仿宋_GB2312" w:eastAsia="仿宋_GB2312"/>
          <w:color w:val="auto"/>
          <w:sz w:val="32"/>
          <w:szCs w:val="32"/>
        </w:rPr>
        <w:t>辆、应急保障用车</w:t>
      </w:r>
      <w:r>
        <w:rPr>
          <w:rFonts w:ascii="仿宋_GB2312" w:eastAsia="仿宋_GB2312"/>
          <w:color w:val="auto"/>
          <w:sz w:val="32"/>
          <w:szCs w:val="32"/>
        </w:rPr>
        <w:t>0</w:t>
      </w:r>
      <w:r>
        <w:rPr>
          <w:rFonts w:hint="eastAsia" w:ascii="仿宋_GB2312" w:eastAsia="仿宋_GB2312"/>
          <w:color w:val="auto"/>
          <w:sz w:val="32"/>
          <w:szCs w:val="32"/>
        </w:rPr>
        <w:t>辆、执法执勤用车</w:t>
      </w:r>
      <w:r>
        <w:rPr>
          <w:rFonts w:hint="eastAsia" w:ascii="仿宋_GB2312" w:eastAsia="仿宋_GB2312"/>
          <w:color w:val="auto"/>
          <w:sz w:val="32"/>
          <w:szCs w:val="32"/>
        </w:rPr>
        <w:t>0</w:t>
      </w:r>
      <w:r>
        <w:rPr>
          <w:rFonts w:hint="eastAsia" w:ascii="仿宋_GB2312" w:eastAsia="仿宋_GB2312"/>
          <w:color w:val="auto"/>
          <w:sz w:val="32"/>
          <w:szCs w:val="32"/>
        </w:rPr>
        <w:t>辆、特种专业技术用车</w:t>
      </w:r>
      <w:r>
        <w:rPr>
          <w:rFonts w:hint="eastAsia" w:ascii="仿宋_GB2312" w:eastAsia="仿宋_GB2312"/>
          <w:color w:val="auto"/>
          <w:sz w:val="32"/>
          <w:szCs w:val="32"/>
        </w:rPr>
        <w:t>0</w:t>
      </w:r>
      <w:r>
        <w:rPr>
          <w:rFonts w:hint="eastAsia" w:ascii="仿宋_GB2312" w:eastAsia="仿宋_GB2312"/>
          <w:color w:val="auto"/>
          <w:sz w:val="32"/>
          <w:szCs w:val="32"/>
        </w:rPr>
        <w:t>辆、离退休干部用车</w:t>
      </w:r>
      <w:r>
        <w:rPr>
          <w:rFonts w:ascii="仿宋_GB2312" w:eastAsia="仿宋_GB2312"/>
          <w:color w:val="auto"/>
          <w:sz w:val="32"/>
          <w:szCs w:val="32"/>
        </w:rPr>
        <w:t>0</w:t>
      </w:r>
      <w:r>
        <w:rPr>
          <w:rFonts w:hint="eastAsia" w:ascii="仿宋_GB2312" w:eastAsia="仿宋_GB2312"/>
          <w:color w:val="auto"/>
          <w:sz w:val="32"/>
          <w:szCs w:val="32"/>
        </w:rPr>
        <w:t>辆、其他用车</w:t>
      </w:r>
      <w:r>
        <w:rPr>
          <w:rFonts w:ascii="仿宋_GB2312" w:eastAsia="仿宋_GB2312"/>
          <w:color w:val="auto"/>
          <w:sz w:val="32"/>
          <w:szCs w:val="32"/>
        </w:rPr>
        <w:t>0</w:t>
      </w:r>
      <w:r>
        <w:rPr>
          <w:rFonts w:hint="eastAsia" w:ascii="仿宋_GB2312" w:eastAsia="仿宋_GB2312"/>
          <w:color w:val="auto"/>
          <w:sz w:val="32"/>
          <w:szCs w:val="32"/>
        </w:rPr>
        <w:t>辆，其他用车主要是：</w:t>
      </w:r>
      <w:r>
        <w:rPr>
          <w:rFonts w:ascii="仿宋_GB2312" w:eastAsia="仿宋_GB2312"/>
          <w:color w:val="auto"/>
          <w:sz w:val="32"/>
          <w:szCs w:val="32"/>
        </w:rPr>
        <w:t>无其他用车；</w:t>
      </w:r>
      <w:r>
        <w:rPr>
          <w:rFonts w:hint="eastAsia" w:ascii="仿宋_GB2312" w:eastAsia="仿宋_GB2312"/>
          <w:color w:val="auto"/>
          <w:sz w:val="32"/>
          <w:szCs w:val="32"/>
        </w:rPr>
        <w:t>单位价值50万元以上通用设备</w:t>
      </w:r>
      <w:r>
        <w:rPr>
          <w:rFonts w:hint="eastAsia" w:ascii="仿宋_GB2312" w:eastAsia="仿宋_GB2312"/>
          <w:color w:val="auto"/>
          <w:sz w:val="32"/>
          <w:szCs w:val="32"/>
        </w:rPr>
        <w:t>0</w:t>
      </w:r>
      <w:r>
        <w:rPr>
          <w:rFonts w:hint="eastAsia" w:ascii="仿宋_GB2312" w:eastAsia="仿宋_GB2312"/>
          <w:color w:val="auto"/>
          <w:sz w:val="32"/>
          <w:szCs w:val="32"/>
        </w:rPr>
        <w:t>台（套）、单位价值100万元以上专用设备</w:t>
      </w:r>
      <w:r>
        <w:rPr>
          <w:rFonts w:hint="eastAsia" w:ascii="仿宋_GB2312" w:eastAsia="仿宋_GB2312"/>
          <w:color w:val="auto"/>
          <w:sz w:val="32"/>
          <w:szCs w:val="32"/>
        </w:rPr>
        <w:t>0</w:t>
      </w:r>
      <w:r>
        <w:rPr>
          <w:rFonts w:hint="eastAsia" w:ascii="仿宋_GB2312" w:eastAsia="仿宋_GB2312"/>
          <w:color w:val="auto"/>
          <w:sz w:val="32"/>
          <w:szCs w:val="32"/>
        </w:rPr>
        <w:t>台（套）。</w:t>
      </w:r>
      <w:bookmarkEnd w:id="91"/>
    </w:p>
    <w:p>
      <w:pPr>
        <w:spacing w:line="540" w:lineRule="exact"/>
        <w:ind w:firstLine="643" w:firstLineChars="200"/>
        <w:rPr>
          <w:rFonts w:ascii="楷体_GB2312" w:eastAsia="楷体_GB2312"/>
          <w:b/>
          <w:bCs/>
          <w:color w:val="auto"/>
          <w:sz w:val="32"/>
          <w:szCs w:val="32"/>
        </w:rPr>
      </w:pPr>
      <w:r>
        <w:rPr>
          <w:rFonts w:hint="eastAsia" w:ascii="楷体_GB2312" w:eastAsia="楷体_GB2312"/>
          <w:b/>
          <w:bCs/>
          <w:color w:val="auto"/>
          <w:sz w:val="32"/>
          <w:szCs w:val="32"/>
        </w:rPr>
        <w:t>（二）预算绩效情况的说明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2018年度，本部门单位预算绩效自评情况：</w:t>
      </w:r>
      <w:r>
        <w:rPr>
          <w:rFonts w:ascii="仿宋_GB2312" w:eastAsia="仿宋_GB2312"/>
          <w:color w:val="auto"/>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color w:val="auto"/>
          <w:sz w:val="32"/>
          <w:szCs w:val="32"/>
        </w:rPr>
        <w:t>英吉沙县粮食局</w:t>
      </w:r>
      <w:r>
        <w:rPr>
          <w:rFonts w:ascii="仿宋_GB2312" w:eastAsia="仿宋_GB2312"/>
          <w:color w:val="auto"/>
          <w:sz w:val="32"/>
          <w:szCs w:val="32"/>
        </w:rPr>
        <w:t>2018年度部门预算总额为</w:t>
      </w:r>
      <w:r>
        <w:rPr>
          <w:rFonts w:hint="eastAsia" w:ascii="仿宋_GB2312" w:eastAsia="仿宋_GB2312"/>
          <w:color w:val="auto"/>
          <w:sz w:val="32"/>
          <w:szCs w:val="32"/>
          <w:lang w:val="en-US" w:eastAsia="zh-CN"/>
        </w:rPr>
        <w:t>0</w:t>
      </w:r>
      <w:r>
        <w:rPr>
          <w:rFonts w:ascii="仿宋_GB2312" w:eastAsia="仿宋_GB2312"/>
          <w:color w:val="auto"/>
          <w:sz w:val="32"/>
          <w:szCs w:val="32"/>
        </w:rPr>
        <w:t>万元，执行金额为</w:t>
      </w:r>
      <w:r>
        <w:rPr>
          <w:rFonts w:hint="eastAsia" w:ascii="仿宋_GB2312" w:eastAsia="仿宋_GB2312"/>
          <w:color w:val="auto"/>
          <w:sz w:val="32"/>
          <w:szCs w:val="32"/>
          <w:lang w:val="en-US" w:eastAsia="zh-CN"/>
        </w:rPr>
        <w:t>0</w:t>
      </w:r>
      <w:r>
        <w:rPr>
          <w:rFonts w:ascii="仿宋_GB2312" w:eastAsia="仿宋_GB2312"/>
          <w:color w:val="auto"/>
          <w:sz w:val="32"/>
          <w:szCs w:val="32"/>
        </w:rPr>
        <w:t>万元，预算执行率为100%。本次自评共涉及项目数</w:t>
      </w:r>
      <w:r>
        <w:rPr>
          <w:rFonts w:hint="eastAsia" w:ascii="仿宋_GB2312" w:eastAsia="仿宋_GB2312"/>
          <w:color w:val="auto"/>
          <w:sz w:val="32"/>
          <w:szCs w:val="32"/>
          <w:lang w:val="en-US" w:eastAsia="zh-CN"/>
        </w:rPr>
        <w:t>0</w:t>
      </w:r>
      <w:r>
        <w:rPr>
          <w:rFonts w:ascii="仿宋_GB2312" w:eastAsia="仿宋_GB2312"/>
          <w:color w:val="auto"/>
          <w:sz w:val="32"/>
          <w:szCs w:val="32"/>
        </w:rPr>
        <w:t>个，其中已完成项目</w:t>
      </w:r>
      <w:r>
        <w:rPr>
          <w:rFonts w:hint="eastAsia" w:ascii="仿宋_GB2312" w:eastAsia="仿宋_GB2312"/>
          <w:color w:val="auto"/>
          <w:sz w:val="32"/>
          <w:szCs w:val="32"/>
          <w:lang w:val="en-US" w:eastAsia="zh-CN"/>
        </w:rPr>
        <w:t>0</w:t>
      </w:r>
      <w:r>
        <w:rPr>
          <w:rFonts w:ascii="仿宋_GB2312" w:eastAsia="仿宋_GB2312"/>
          <w:color w:val="auto"/>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color w:val="auto"/>
          <w:sz w:val="32"/>
          <w:szCs w:val="32"/>
        </w:rPr>
      </w:pPr>
      <w:r>
        <w:rPr>
          <w:rFonts w:hint="eastAsia" w:ascii="黑体" w:hAnsi="黑体" w:eastAsia="黑体"/>
          <w:color w:val="auto"/>
          <w:sz w:val="32"/>
          <w:szCs w:val="32"/>
        </w:rPr>
        <w:t>第三部分 专业名词解释</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财政拨款收入：指同级财政当年拨付的资金。</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结余分配：反映单位当年结余的分配情况。</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auto"/>
          <w:sz w:val="32"/>
          <w:szCs w:val="32"/>
          <w:lang w:val="en-GB"/>
        </w:rPr>
      </w:pPr>
      <w:r>
        <w:rPr>
          <w:rFonts w:hint="eastAsia" w:ascii="仿宋_GB2312" w:eastAsia="仿宋_GB2312"/>
          <w:color w:val="auto"/>
          <w:sz w:val="32"/>
          <w:szCs w:val="32"/>
        </w:rPr>
        <w:t>本单位支出功能分类说明</w:t>
      </w:r>
      <w:r>
        <w:rPr>
          <w:rFonts w:hint="eastAsia" w:ascii="仿宋_GB2312" w:hAnsi="Calibri" w:eastAsia="仿宋_GB2312"/>
          <w:color w:val="auto"/>
          <w:sz w:val="32"/>
          <w:szCs w:val="32"/>
          <w:lang w:val="en-GB"/>
        </w:rPr>
        <w:t>。</w:t>
      </w:r>
      <w:r>
        <w:rPr>
          <w:rFonts w:hint="eastAsia" w:ascii="仿宋_GB2312" w:eastAsia="仿宋_GB2312"/>
          <w:color w:val="auto"/>
          <w:sz w:val="32"/>
          <w:szCs w:val="32"/>
        </w:rPr>
        <w:t>221（类）02（款）01（项）指：住房公积金。201（类）03（款）01（项）指：行政运行。208（类）05（款）05（项）指：机关事业单位基本养老保险缴费支出。</w:t>
      </w:r>
    </w:p>
    <w:p>
      <w:pPr>
        <w:spacing w:line="540" w:lineRule="exact"/>
        <w:ind w:firstLine="640" w:firstLineChars="200"/>
        <w:rPr>
          <w:rFonts w:ascii="仿宋_GB2312" w:hAnsi="Calibri" w:eastAsia="仿宋_GB2312"/>
          <w:color w:val="auto"/>
          <w:sz w:val="32"/>
          <w:szCs w:val="32"/>
          <w:lang w:val="en-GB"/>
        </w:rPr>
      </w:pPr>
      <w:r>
        <w:rPr>
          <w:rFonts w:hint="eastAsia" w:ascii="仿宋_GB2312" w:eastAsia="仿宋_GB2312"/>
          <w:color w:val="auto"/>
          <w:sz w:val="32"/>
          <w:szCs w:val="32"/>
        </w:rPr>
        <w:t>其他有关说明内容</w:t>
      </w:r>
      <w:r>
        <w:rPr>
          <w:rFonts w:hint="eastAsia" w:ascii="仿宋_GB2312" w:hAnsi="Calibri" w:eastAsia="仿宋_GB2312"/>
          <w:color w:val="auto"/>
          <w:sz w:val="32"/>
          <w:szCs w:val="32"/>
          <w:lang w:val="en-GB"/>
        </w:rPr>
        <w:t>。</w:t>
      </w:r>
    </w:p>
    <w:p>
      <w:pPr>
        <w:spacing w:line="540" w:lineRule="exact"/>
        <w:ind w:firstLine="643" w:firstLineChars="200"/>
        <w:rPr>
          <w:rFonts w:ascii="仿宋_GB2312" w:eastAsia="仿宋_GB2312"/>
          <w:b/>
          <w:color w:val="auto"/>
          <w:sz w:val="32"/>
          <w:szCs w:val="32"/>
        </w:rPr>
      </w:pPr>
    </w:p>
    <w:p>
      <w:pPr>
        <w:spacing w:line="540" w:lineRule="exact"/>
        <w:jc w:val="center"/>
        <w:rPr>
          <w:rFonts w:ascii="黑体" w:hAnsi="黑体" w:eastAsia="黑体"/>
          <w:color w:val="auto"/>
          <w:sz w:val="32"/>
          <w:szCs w:val="32"/>
        </w:rPr>
      </w:pPr>
      <w:r>
        <w:rPr>
          <w:rFonts w:hint="eastAsia" w:ascii="黑体" w:hAnsi="黑体" w:eastAsia="黑体"/>
          <w:color w:val="auto"/>
          <w:sz w:val="32"/>
          <w:szCs w:val="32"/>
        </w:rPr>
        <w:t>第四部分 部门决算公开的8张报表（见附表）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一、《收入支出决算总表》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二、《收入决算表》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三、《支出决算表》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四、《财政拨款收入支出决算总表》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五、《一般公共预算财政拨款支出决算表》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六、《一般公共预算财政拨款基本支出决算表》</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七、《一般公共预算财政拨款“三公”经费支出决算表》</w:t>
      </w:r>
    </w:p>
    <w:p>
      <w:pPr>
        <w:spacing w:line="540" w:lineRule="exact"/>
        <w:ind w:firstLine="640" w:firstLineChars="200"/>
        <w:rPr>
          <w:rFonts w:hint="eastAsia" w:ascii="仿宋_GB2312" w:eastAsia="仿宋_GB2312"/>
          <w:color w:val="auto"/>
          <w:sz w:val="32"/>
          <w:szCs w:val="32"/>
        </w:rPr>
      </w:pPr>
      <w:r>
        <w:rPr>
          <w:rFonts w:hint="eastAsia" w:ascii="仿宋_GB2312" w:hAnsi="宋体" w:eastAsia="仿宋_GB2312"/>
          <w:color w:val="auto"/>
          <w:sz w:val="32"/>
          <w:szCs w:val="32"/>
        </w:rPr>
        <w:t>八、</w:t>
      </w:r>
      <w:r>
        <w:rPr>
          <w:rFonts w:hint="eastAsia" w:ascii="仿宋_GB2312" w:eastAsia="仿宋_GB2312"/>
          <w:color w:val="auto"/>
          <w:sz w:val="32"/>
          <w:szCs w:val="32"/>
        </w:rPr>
        <w:t>《政府性基金预算财政拨款收入支出决算表》</w:t>
      </w:r>
    </w:p>
    <w:p>
      <w:pPr>
        <w:spacing w:line="540" w:lineRule="exact"/>
        <w:ind w:firstLine="640" w:firstLineChars="200"/>
        <w:rPr>
          <w:rFonts w:hint="eastAsia" w:ascii="仿宋_GB2312" w:eastAsia="仿宋_GB2312"/>
          <w:color w:val="auto"/>
          <w:sz w:val="32"/>
          <w:szCs w:val="32"/>
        </w:rPr>
      </w:pPr>
    </w:p>
    <w:p>
      <w:pPr>
        <w:spacing w:line="540" w:lineRule="exact"/>
        <w:ind w:firstLine="640" w:firstLineChars="200"/>
        <w:rPr>
          <w:rFonts w:hint="eastAsia" w:ascii="仿宋_GB2312" w:eastAsia="仿宋_GB2312"/>
          <w:color w:val="auto"/>
          <w:sz w:val="32"/>
          <w:szCs w:val="32"/>
        </w:rPr>
      </w:pPr>
    </w:p>
    <w:p>
      <w:pPr>
        <w:spacing w:line="540" w:lineRule="exact"/>
        <w:ind w:firstLine="640" w:firstLineChars="200"/>
        <w:rPr>
          <w:rFonts w:hint="eastAsia" w:ascii="仿宋_GB2312" w:eastAsia="仿宋_GB2312"/>
          <w:color w:val="auto"/>
          <w:sz w:val="32"/>
          <w:szCs w:val="32"/>
        </w:rPr>
      </w:pPr>
    </w:p>
    <w:p>
      <w:pPr>
        <w:spacing w:line="540" w:lineRule="exact"/>
        <w:ind w:firstLine="640" w:firstLineChars="200"/>
        <w:rPr>
          <w:rFonts w:hint="eastAsia" w:ascii="仿宋_GB2312" w:eastAsia="仿宋_GB2312"/>
          <w:color w:val="auto"/>
          <w:sz w:val="32"/>
          <w:szCs w:val="32"/>
        </w:rPr>
      </w:pPr>
    </w:p>
    <w:p>
      <w:pPr>
        <w:spacing w:line="540" w:lineRule="exact"/>
        <w:ind w:firstLine="640" w:firstLineChars="200"/>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color w:val="auto"/>
          <w:sz w:val="32"/>
          <w:szCs w:val="32"/>
        </w:rPr>
      </w:pPr>
      <w:r>
        <w:rPr>
          <w:rFonts w:ascii="仿宋_GB2312" w:eastAsia="仿宋_GB2312"/>
          <w:color w:val="auto"/>
          <w:sz w:val="32"/>
          <w:szCs w:val="32"/>
        </w:rPr>
        <w:t>英吉沙县粮食局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2019年8月15日</w:t>
      </w:r>
    </w:p>
    <w:p>
      <w:pPr>
        <w:spacing w:line="540" w:lineRule="exact"/>
        <w:ind w:firstLine="640" w:firstLineChars="200"/>
        <w:rPr>
          <w:rFonts w:hint="eastAsia" w:ascii="仿宋_GB2312" w:eastAsia="仿宋_GB2312"/>
          <w:color w:val="auto"/>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color w:val="auto"/>
          <w:sz w:val="32"/>
          <w:szCs w:val="32"/>
        </w:rPr>
      </w:pPr>
    </w:p>
    <w:bookmarkEnd w:id="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BD37CE9"/>
    <w:rsid w:val="1CE04F8E"/>
    <w:rsid w:val="1E807156"/>
    <w:rsid w:val="1EA657F6"/>
    <w:rsid w:val="1F097CB6"/>
    <w:rsid w:val="2166156B"/>
    <w:rsid w:val="21B02D83"/>
    <w:rsid w:val="22A236F5"/>
    <w:rsid w:val="23995975"/>
    <w:rsid w:val="2432220E"/>
    <w:rsid w:val="248303BA"/>
    <w:rsid w:val="24837E47"/>
    <w:rsid w:val="252E01AA"/>
    <w:rsid w:val="2680023E"/>
    <w:rsid w:val="26A3345F"/>
    <w:rsid w:val="29680352"/>
    <w:rsid w:val="2A020F75"/>
    <w:rsid w:val="2AFE5D96"/>
    <w:rsid w:val="2B007AEE"/>
    <w:rsid w:val="2BC14C56"/>
    <w:rsid w:val="2C1B026F"/>
    <w:rsid w:val="2CC61F55"/>
    <w:rsid w:val="2EF7452F"/>
    <w:rsid w:val="2F1D13B4"/>
    <w:rsid w:val="2FAA3DA6"/>
    <w:rsid w:val="30682E1F"/>
    <w:rsid w:val="30E210D2"/>
    <w:rsid w:val="311371D6"/>
    <w:rsid w:val="31EB64C9"/>
    <w:rsid w:val="336D0D6F"/>
    <w:rsid w:val="352E4BEC"/>
    <w:rsid w:val="37DD5594"/>
    <w:rsid w:val="38282ABF"/>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76030A"/>
    <w:rsid w:val="65C613BD"/>
    <w:rsid w:val="65FD118C"/>
    <w:rsid w:val="682C3D89"/>
    <w:rsid w:val="68611305"/>
    <w:rsid w:val="68A877F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3E4F14"/>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2021-07-13T14:29:25Z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BE49ED03F31A44E0AF78633F0F0C3EA7</vt:lpwstr>
  </property>
</Properties>
</file>